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5F31" w14:textId="27B131DC" w:rsidR="0099250B" w:rsidRDefault="0099250B"/>
    <w:p w14:paraId="53D28090" w14:textId="4D9B04A1" w:rsidR="0099250B" w:rsidRDefault="0099250B"/>
    <w:p w14:paraId="4F0D790B" w14:textId="50026489" w:rsidR="0099250B" w:rsidRDefault="0099250B">
      <w:pPr>
        <w:rPr>
          <w:b/>
          <w:bCs/>
        </w:rPr>
      </w:pPr>
      <w:r>
        <w:rPr>
          <w:b/>
          <w:bCs/>
        </w:rPr>
        <w:t>DATE:</w:t>
      </w:r>
    </w:p>
    <w:p w14:paraId="06D7BE4E" w14:textId="71B8994D" w:rsidR="0099250B" w:rsidRDefault="0099250B">
      <w:pPr>
        <w:rPr>
          <w:b/>
          <w:bCs/>
        </w:rPr>
      </w:pPr>
    </w:p>
    <w:p w14:paraId="51DE1B21" w14:textId="0FE4B59D" w:rsidR="0099250B" w:rsidRDefault="0099250B">
      <w:pPr>
        <w:rPr>
          <w:b/>
          <w:bCs/>
        </w:rPr>
      </w:pPr>
      <w:r>
        <w:rPr>
          <w:b/>
          <w:bCs/>
        </w:rPr>
        <w:t>PATIENT NAME:</w:t>
      </w:r>
    </w:p>
    <w:p w14:paraId="54180793" w14:textId="083A1D04" w:rsidR="0099250B" w:rsidRDefault="0099250B">
      <w:pPr>
        <w:rPr>
          <w:b/>
          <w:bCs/>
        </w:rPr>
      </w:pPr>
      <w:r>
        <w:rPr>
          <w:b/>
          <w:bCs/>
        </w:rPr>
        <w:t>DATE OF BIRTH:</w:t>
      </w:r>
    </w:p>
    <w:p w14:paraId="79924BAC" w14:textId="3877CEAA" w:rsidR="0099250B" w:rsidRDefault="0099250B">
      <w:pPr>
        <w:rPr>
          <w:b/>
          <w:bCs/>
        </w:rPr>
      </w:pPr>
      <w:r>
        <w:rPr>
          <w:b/>
          <w:bCs/>
        </w:rPr>
        <w:t>INSURANCE PLAN:</w:t>
      </w:r>
    </w:p>
    <w:p w14:paraId="674020AB" w14:textId="223237A2" w:rsidR="0099250B" w:rsidRDefault="0099250B">
      <w:pPr>
        <w:rPr>
          <w:b/>
          <w:bCs/>
        </w:rPr>
      </w:pPr>
    </w:p>
    <w:p w14:paraId="7B8D10D3" w14:textId="7CC0D4E7" w:rsidR="0099250B" w:rsidRDefault="0099250B">
      <w:r>
        <w:t>To whom it may concern,</w:t>
      </w:r>
    </w:p>
    <w:p w14:paraId="0CB49071" w14:textId="2597C166" w:rsidR="0099250B" w:rsidRDefault="0099250B">
      <w:r>
        <w:t xml:space="preserve">I am writing this appeal letter on behalf of my patient, </w:t>
      </w:r>
      <w:r>
        <w:rPr>
          <w:b/>
          <w:bCs/>
        </w:rPr>
        <w:t>PATIENT NAME</w:t>
      </w:r>
      <w:r>
        <w:t xml:space="preserve">. </w:t>
      </w:r>
      <w:r>
        <w:rPr>
          <w:b/>
          <w:bCs/>
        </w:rPr>
        <w:t>HE/SHE</w:t>
      </w:r>
      <w:r>
        <w:t xml:space="preserve"> suffers from chronic low back pain resulting from sacroiliac joint dysfunction.</w:t>
      </w:r>
    </w:p>
    <w:p w14:paraId="17340B08" w14:textId="4297FC29" w:rsidR="0099250B" w:rsidRDefault="0099250B"/>
    <w:p w14:paraId="5BB18AF5" w14:textId="07CE4B5B" w:rsidR="0099250B" w:rsidRDefault="0099250B">
      <w:pPr>
        <w:rPr>
          <w:vertAlign w:val="subscript"/>
        </w:rPr>
      </w:pPr>
      <w:r>
        <w:t xml:space="preserve">Published medical literature has demonstrated that painful sacroiliac dysfunction accounts for 15-30% of all patients who suffer from chronic low back pain </w:t>
      </w:r>
      <w:r w:rsidRPr="0099250B">
        <w:rPr>
          <w:vertAlign w:val="subscript"/>
        </w:rPr>
        <w:t>(1)</w:t>
      </w:r>
      <w:r>
        <w:t xml:space="preserve">. Furthermore, published medical literature has documented that up to 75% of patients who have undergone lumbar/ lumbosacral fusion procedures develop sacroiliac joint dysfunction within 5 </w:t>
      </w:r>
      <w:proofErr w:type="gramStart"/>
      <w:r>
        <w:t>years</w:t>
      </w:r>
      <w:r w:rsidRPr="005C166E">
        <w:rPr>
          <w:vertAlign w:val="subscript"/>
        </w:rPr>
        <w:t>(</w:t>
      </w:r>
      <w:proofErr w:type="gramEnd"/>
      <w:r w:rsidRPr="005C166E">
        <w:rPr>
          <w:vertAlign w:val="subscript"/>
        </w:rPr>
        <w:t>2)</w:t>
      </w:r>
      <w:r w:rsidR="005C166E">
        <w:rPr>
          <w:vertAlign w:val="subscript"/>
        </w:rPr>
        <w:t xml:space="preserve">. </w:t>
      </w:r>
    </w:p>
    <w:p w14:paraId="102DA1AD" w14:textId="41A0257E" w:rsidR="005C166E" w:rsidRDefault="005C166E">
      <w:pPr>
        <w:rPr>
          <w:vertAlign w:val="subscript"/>
        </w:rPr>
      </w:pPr>
    </w:p>
    <w:p w14:paraId="2448DFE1" w14:textId="55125CD0" w:rsidR="002776FF" w:rsidRDefault="005C166E">
      <w:r>
        <w:t>My request for prior authorization has been denied by your Medicare Advantage Plan. However, CMS states that Medicare Advantage Plans are required to provide their beneficiaries all services that are covered</w:t>
      </w:r>
      <w:r w:rsidR="002776FF">
        <w:t xml:space="preserve"> and are deemed medically necessary</w:t>
      </w:r>
      <w:r>
        <w:t xml:space="preserve"> </w:t>
      </w:r>
      <w:r w:rsidR="002776FF">
        <w:t>under</w:t>
      </w:r>
      <w:r>
        <w:t xml:space="preserve"> Part A and Part B Original Medicare </w:t>
      </w:r>
      <w:r w:rsidR="002776FF">
        <w:t>P</w:t>
      </w:r>
      <w:r>
        <w:t>lans</w:t>
      </w:r>
      <w:r w:rsidR="002776FF">
        <w:t xml:space="preserve"> </w:t>
      </w:r>
      <w:r w:rsidR="002776FF" w:rsidRPr="002776FF">
        <w:rPr>
          <w:vertAlign w:val="subscript"/>
        </w:rPr>
        <w:t>(3)</w:t>
      </w:r>
      <w:r w:rsidR="002776FF">
        <w:t>. This means that Medicare Advantage Plans may not restrict access to services covered under Original Medicare.</w:t>
      </w:r>
    </w:p>
    <w:p w14:paraId="3C7F6CD5" w14:textId="7F7EF5FA" w:rsidR="002776FF" w:rsidRDefault="002776FF"/>
    <w:p w14:paraId="60D72BF7" w14:textId="77777777" w:rsidR="002776FF" w:rsidRPr="002776FF" w:rsidRDefault="002776FF" w:rsidP="002776FF">
      <w:pPr>
        <w:pStyle w:val="Default"/>
        <w:spacing w:before="193" w:after="193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color w:val="auto"/>
          <w:sz w:val="22"/>
          <w:szCs w:val="22"/>
        </w:rPr>
        <w:t xml:space="preserve">Medicare LCDs state that: </w:t>
      </w: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“</w:t>
      </w: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Percutaneous minimally invasive fusion/stabilization of the sacroiliac joint (SIJ) for the treatment of back pain is indicated for the treatment of SIJ pain for patients with low back/buttock pain who meet all of the following criteria:</w:t>
      </w:r>
    </w:p>
    <w:p w14:paraId="39BE905A" w14:textId="77777777" w:rsidR="002776FF" w:rsidRPr="002776FF" w:rsidRDefault="002776FF" w:rsidP="002776FF">
      <w:pPr>
        <w:pStyle w:val="Default"/>
        <w:spacing w:before="193" w:after="193"/>
        <w:ind w:left="72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a) Have undergone and failed a minimum six months of intensive non-operative treatment that must include medication optimization, activity modification, and active physical 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therapy;</w:t>
      </w:r>
      <w:proofErr w:type="gramEnd"/>
    </w:p>
    <w:p w14:paraId="5EB49C91" w14:textId="77777777" w:rsidR="002776FF" w:rsidRPr="002776FF" w:rsidRDefault="002776FF" w:rsidP="002776FF">
      <w:pPr>
        <w:pStyle w:val="Default"/>
        <w:spacing w:before="193" w:after="193"/>
        <w:ind w:left="72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b) Patient’s report of non-radiating, unilateral pain that is caudal to the lumbar spine (L5 vertebrae), localized over the posterior SIJ, and consistent with SIJ 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pain;</w:t>
      </w:r>
      <w:proofErr w:type="gramEnd"/>
    </w:p>
    <w:p w14:paraId="51E758A4" w14:textId="77777777" w:rsidR="002776FF" w:rsidRPr="002776FF" w:rsidRDefault="002776FF" w:rsidP="002776FF">
      <w:pPr>
        <w:pStyle w:val="Default"/>
        <w:spacing w:before="193" w:after="193"/>
        <w:ind w:left="72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c) Localized tenderness with palpation of the posterior SIJ in the absence of tenderness of similar severity elsewhere (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e.g.</w:t>
      </w:r>
      <w:proofErr w:type="gramEnd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greater trochanter, lumbar spine, coccyx) and other obvious sources for their pain do not exist;</w:t>
      </w:r>
    </w:p>
    <w:p w14:paraId="4A14D94F" w14:textId="2137C4C7" w:rsidR="002776FF" w:rsidRPr="002776FF" w:rsidRDefault="002776FF" w:rsidP="002776FF">
      <w:pPr>
        <w:pStyle w:val="Default"/>
        <w:spacing w:before="193" w:after="193"/>
        <w:ind w:left="72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d) Positive response to the thigh thrust test OR compression test AND 2 of the following additional provocative tests: </w:t>
      </w:r>
      <w:proofErr w:type="spell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Gaenslen’s</w:t>
      </w:r>
      <w:proofErr w:type="spellEnd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test, Distraction test, Patrick’s 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sign;</w:t>
      </w:r>
      <w:proofErr w:type="gramEnd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</w:t>
      </w:r>
    </w:p>
    <w:p w14:paraId="1CE17F79" w14:textId="77777777" w:rsidR="002776FF" w:rsidRPr="002776FF" w:rsidRDefault="002776FF" w:rsidP="002776FF">
      <w:pPr>
        <w:pStyle w:val="Default"/>
        <w:pageBreakBefore/>
        <w:spacing w:before="193" w:after="193"/>
        <w:ind w:left="72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lastRenderedPageBreak/>
        <w:t>e) Absence of generalized pain behavior (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e.g.</w:t>
      </w:r>
      <w:proofErr w:type="gramEnd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somatoform disorder) or generalized pain disorders (e.g. fibromyalgia);</w:t>
      </w:r>
    </w:p>
    <w:p w14:paraId="11E3FB48" w14:textId="77777777" w:rsidR="002776FF" w:rsidRPr="002776FF" w:rsidRDefault="002776FF" w:rsidP="002776FF">
      <w:pPr>
        <w:pStyle w:val="Default"/>
        <w:spacing w:before="193" w:after="193"/>
        <w:ind w:left="72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f) Diagnostic imaging studies that include 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ALL of</w:t>
      </w:r>
      <w:proofErr w:type="gramEnd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the following:</w:t>
      </w:r>
    </w:p>
    <w:p w14:paraId="722BC714" w14:textId="77777777" w:rsidR="002776FF" w:rsidRPr="002776FF" w:rsidRDefault="002776FF" w:rsidP="002776FF">
      <w:pPr>
        <w:pStyle w:val="Default"/>
        <w:spacing w:before="193" w:after="193"/>
        <w:ind w:left="144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1. Imaging (plain radiographs and a CT or MRI) of the SI joint that excludes the presence of destructive lesions (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e.g.</w:t>
      </w:r>
      <w:proofErr w:type="gramEnd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tumor, infection) or inflammatory arthropathy that would not be properly addressed by percutaneous SIJ fusion;</w:t>
      </w:r>
    </w:p>
    <w:p w14:paraId="148146E0" w14:textId="77777777" w:rsidR="002776FF" w:rsidRPr="002776FF" w:rsidRDefault="002776FF" w:rsidP="002776FF">
      <w:pPr>
        <w:pStyle w:val="Default"/>
        <w:spacing w:before="193" w:after="193"/>
        <w:ind w:left="144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2. Imaging of the ipsilateral hip (plain radiographs) to rule out 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osteoarthritis;</w:t>
      </w:r>
      <w:proofErr w:type="gramEnd"/>
    </w:p>
    <w:p w14:paraId="3E88B58C" w14:textId="77777777" w:rsidR="002776FF" w:rsidRPr="002776FF" w:rsidRDefault="002776FF" w:rsidP="002776FF">
      <w:pPr>
        <w:pStyle w:val="Default"/>
        <w:spacing w:before="193" w:after="193"/>
        <w:ind w:left="144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3. Imaging of the lumbar spine (CT or MRI) to rule out neural compression or other degenerative condition that can be causing low back or buttock 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pain;</w:t>
      </w:r>
      <w:proofErr w:type="gramEnd"/>
    </w:p>
    <w:p w14:paraId="44AF666A" w14:textId="3944E7E3" w:rsidR="002776FF" w:rsidRDefault="002776FF" w:rsidP="002776FF">
      <w:pPr>
        <w:ind w:left="720"/>
      </w:pPr>
      <w:r w:rsidRPr="002776FF">
        <w:rPr>
          <w:i/>
          <w:iCs/>
        </w:rPr>
        <w:t xml:space="preserve">g) At least 75 percent reduction of pain for the expected duration </w:t>
      </w:r>
      <w:r w:rsidRPr="002776FF">
        <w:t>of the anesthetic used following an image-guided, contrast-enhanced SIJ injection on two separate occasions.</w:t>
      </w:r>
      <w:r>
        <w:t>”</w:t>
      </w:r>
    </w:p>
    <w:p w14:paraId="2380C9E8" w14:textId="1ECE85FA" w:rsidR="00247B52" w:rsidRDefault="00247B52" w:rsidP="002776FF">
      <w:pPr>
        <w:ind w:left="720"/>
      </w:pPr>
    </w:p>
    <w:p w14:paraId="73F6803D" w14:textId="499C257F" w:rsidR="00247B52" w:rsidRDefault="00247B52" w:rsidP="00247B52">
      <w:r>
        <w:rPr>
          <w:b/>
          <w:bCs/>
        </w:rPr>
        <w:t>PATIENT NAME</w:t>
      </w:r>
      <w:r>
        <w:t xml:space="preserve"> has met all of the coverage requirements listed above, set forth by Medicare; and </w:t>
      </w:r>
      <w:proofErr w:type="gramStart"/>
      <w:r>
        <w:t>therefore</w:t>
      </w:r>
      <w:proofErr w:type="gramEnd"/>
      <w:r>
        <w:t xml:space="preserve"> cannot be denied approval and coverage for minimally invasive arthrodesis of the sacroiliac joint. I am hopeful that you can review the facts listed in this appeal letter, in conjunction with </w:t>
      </w:r>
      <w:r>
        <w:rPr>
          <w:b/>
          <w:bCs/>
        </w:rPr>
        <w:t>PATIENT NAME</w:t>
      </w:r>
      <w:r>
        <w:t xml:space="preserve">’s medical record, and provide the coverage that they are entitled to. </w:t>
      </w:r>
    </w:p>
    <w:p w14:paraId="0657475E" w14:textId="5D598689" w:rsidR="00247B52" w:rsidRDefault="00247B52" w:rsidP="00247B52"/>
    <w:p w14:paraId="4E8B281C" w14:textId="1F8BD7D9" w:rsidR="00247B52" w:rsidRDefault="00247B52" w:rsidP="00247B52">
      <w:r>
        <w:t>Sincerely,</w:t>
      </w:r>
    </w:p>
    <w:p w14:paraId="52E473FA" w14:textId="214216FD" w:rsidR="00247B52" w:rsidRDefault="00247B52" w:rsidP="00247B52"/>
    <w:p w14:paraId="4C26BEDF" w14:textId="2C6EF899" w:rsidR="00247B52" w:rsidRPr="00247B52" w:rsidRDefault="00247B52" w:rsidP="00247B52">
      <w:pPr>
        <w:rPr>
          <w:b/>
          <w:bCs/>
        </w:rPr>
      </w:pPr>
      <w:r>
        <w:rPr>
          <w:b/>
          <w:bCs/>
        </w:rPr>
        <w:t>SIGNATURE</w:t>
      </w:r>
    </w:p>
    <w:p w14:paraId="27B10FA6" w14:textId="4EB217A4" w:rsidR="0099250B" w:rsidRPr="002776FF" w:rsidRDefault="0099250B"/>
    <w:p w14:paraId="2141BB3B" w14:textId="11806492" w:rsidR="0099250B" w:rsidRPr="002776FF" w:rsidRDefault="0099250B"/>
    <w:p w14:paraId="059EF1BC" w14:textId="3DAC71B8" w:rsidR="002776FF" w:rsidRPr="002776FF" w:rsidRDefault="002776FF"/>
    <w:p w14:paraId="1B937112" w14:textId="02656F1F" w:rsidR="002776FF" w:rsidRPr="002776FF" w:rsidRDefault="002776FF"/>
    <w:p w14:paraId="0864B8DB" w14:textId="1B144CB4" w:rsidR="002776FF" w:rsidRPr="002776FF" w:rsidRDefault="002776FF"/>
    <w:p w14:paraId="74CF6720" w14:textId="53B42E19" w:rsidR="002776FF" w:rsidRPr="002776FF" w:rsidRDefault="002776FF"/>
    <w:p w14:paraId="425953DE" w14:textId="77F33CDE" w:rsidR="002776FF" w:rsidRPr="002776FF" w:rsidRDefault="002776FF"/>
    <w:p w14:paraId="49730CF4" w14:textId="5DC4D3AA" w:rsidR="002776FF" w:rsidRPr="002776FF" w:rsidRDefault="002776FF"/>
    <w:p w14:paraId="62F91798" w14:textId="090AFF35" w:rsidR="002776FF" w:rsidRPr="002776FF" w:rsidRDefault="002776FF"/>
    <w:p w14:paraId="05ED57B1" w14:textId="7D49E70E" w:rsidR="002776FF" w:rsidRPr="002776FF" w:rsidRDefault="002776FF"/>
    <w:p w14:paraId="1732086A" w14:textId="75797597" w:rsidR="002776FF" w:rsidRPr="002776FF" w:rsidRDefault="002776FF"/>
    <w:p w14:paraId="4FA10CB4" w14:textId="70713020" w:rsidR="002776FF" w:rsidRPr="002776FF" w:rsidRDefault="002776FF"/>
    <w:p w14:paraId="41503A8E" w14:textId="3DE32809" w:rsidR="002776FF" w:rsidRPr="002776FF" w:rsidRDefault="002776FF"/>
    <w:p w14:paraId="4E83C1ED" w14:textId="2FB38714" w:rsidR="002776FF" w:rsidRPr="002776FF" w:rsidRDefault="002776FF"/>
    <w:p w14:paraId="1551C5E9" w14:textId="7D224598" w:rsidR="002776FF" w:rsidRPr="002776FF" w:rsidRDefault="002776FF"/>
    <w:p w14:paraId="7411B747" w14:textId="66B124FD" w:rsidR="002776FF" w:rsidRPr="002776FF" w:rsidRDefault="002776FF"/>
    <w:p w14:paraId="34E4E40A" w14:textId="3AD89B99" w:rsidR="002776FF" w:rsidRPr="002776FF" w:rsidRDefault="002776FF">
      <w:r w:rsidRPr="002776FF">
        <w:t>REFERENCES:</w:t>
      </w:r>
    </w:p>
    <w:p w14:paraId="15100011" w14:textId="434CF9F0" w:rsidR="002776FF" w:rsidRPr="002776FF" w:rsidRDefault="002776FF" w:rsidP="002776FF">
      <w:r w:rsidRPr="002776FF">
        <w:t xml:space="preserve">1.) </w:t>
      </w:r>
      <w:proofErr w:type="spellStart"/>
      <w:r w:rsidRPr="002776FF">
        <w:t>Szadek</w:t>
      </w:r>
      <w:proofErr w:type="spellEnd"/>
      <w:r w:rsidRPr="002776FF">
        <w:t xml:space="preserve"> KM, van der </w:t>
      </w:r>
      <w:proofErr w:type="spellStart"/>
      <w:r w:rsidRPr="002776FF">
        <w:t>Wurff</w:t>
      </w:r>
      <w:proofErr w:type="spellEnd"/>
      <w:r w:rsidRPr="002776FF">
        <w:t xml:space="preserve"> P, van </w:t>
      </w:r>
      <w:proofErr w:type="spellStart"/>
      <w:r w:rsidRPr="002776FF">
        <w:t>Tulder</w:t>
      </w:r>
      <w:proofErr w:type="spellEnd"/>
      <w:r w:rsidRPr="002776FF">
        <w:t xml:space="preserve"> MW, </w:t>
      </w:r>
      <w:proofErr w:type="spellStart"/>
      <w:r w:rsidRPr="002776FF">
        <w:t>Zuurmond</w:t>
      </w:r>
      <w:proofErr w:type="spellEnd"/>
      <w:r w:rsidRPr="002776FF">
        <w:t xml:space="preserve"> WW, Perez RS. Diagnostic validity of criteria for sacroiliac joint pain: a systematic review. J Pain. 2009;10(4):354–368. </w:t>
      </w:r>
    </w:p>
    <w:p w14:paraId="3C3BEFBD" w14:textId="21DF475F" w:rsidR="002776FF" w:rsidRPr="002776FF" w:rsidRDefault="002776FF">
      <w:r w:rsidRPr="002776FF">
        <w:t xml:space="preserve">2.) </w:t>
      </w:r>
      <w:r w:rsidRPr="002776FF">
        <w:t>Ha K-Y, Lee J-S, Kim K-W. Degeneration of sacroiliac joint after instrumented lumbar or lumbosacral fusion: a prospective cohort study over five-year follow-up. Spine. 2008;33(11):1192–8.</w:t>
      </w:r>
    </w:p>
    <w:p w14:paraId="284318F5" w14:textId="2D5B6DF6" w:rsidR="002776FF" w:rsidRPr="002776FF" w:rsidRDefault="002776FF">
      <w:r w:rsidRPr="002776FF">
        <w:t xml:space="preserve">3.) </w:t>
      </w:r>
      <w:hyperlink r:id="rId5" w:history="1">
        <w:r w:rsidRPr="002776FF">
          <w:t>https://www.medicare.gov/Pubs/pdf/12026-Understanding-Medicare-Advantage-Plans.pdf</w:t>
        </w:r>
        <w:r w:rsidRPr="002776FF">
          <w:t xml:space="preserve"> - Page 7</w:t>
        </w:r>
      </w:hyperlink>
    </w:p>
    <w:p w14:paraId="1078B904" w14:textId="760B85A6" w:rsidR="002776FF" w:rsidRPr="002776FF" w:rsidRDefault="002776FF"/>
    <w:sectPr w:rsidR="002776FF" w:rsidRPr="002776FF" w:rsidSect="009925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959B1"/>
    <w:multiLevelType w:val="hybridMultilevel"/>
    <w:tmpl w:val="59907F10"/>
    <w:lvl w:ilvl="0" w:tplc="F4065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920D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7846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EE3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6E9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BEBD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FE9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E08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25C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9776E"/>
    <w:multiLevelType w:val="hybridMultilevel"/>
    <w:tmpl w:val="12E89764"/>
    <w:lvl w:ilvl="0" w:tplc="812AB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057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D68A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6A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EFE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864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98C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AB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DEA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0B"/>
    <w:rsid w:val="00247B52"/>
    <w:rsid w:val="002776FF"/>
    <w:rsid w:val="005C166E"/>
    <w:rsid w:val="0099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82BA"/>
  <w15:chartTrackingRefBased/>
  <w15:docId w15:val="{BD5A7A31-3F48-4494-B205-546F99EF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6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6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7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776F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776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627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Rogers</dc:creator>
  <cp:keywords/>
  <dc:description/>
  <cp:lastModifiedBy>Dan Rogers</cp:lastModifiedBy>
  <cp:revision>1</cp:revision>
  <dcterms:created xsi:type="dcterms:W3CDTF">2021-04-23T22:43:00Z</dcterms:created>
  <dcterms:modified xsi:type="dcterms:W3CDTF">2021-04-23T23:21:00Z</dcterms:modified>
</cp:coreProperties>
</file>