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D5475C" w14:textId="752C3B01" w:rsidR="00DD1B2E" w:rsidRDefault="00DD1B2E" w:rsidP="00DD1B2E">
      <w:pPr>
        <w:spacing w:after="0" w:line="240" w:lineRule="auto"/>
        <w:jc w:val="center"/>
        <w:rPr>
          <w:rFonts w:ascii="Arial" w:hAnsi="Arial" w:cs="Arial"/>
          <w:b/>
          <w:color w:val="FF0000"/>
        </w:rPr>
      </w:pPr>
      <w:r>
        <w:rPr>
          <w:rFonts w:ascii="Arial" w:hAnsi="Arial" w:cs="Arial"/>
          <w:b/>
          <w:color w:val="FF0000"/>
        </w:rPr>
        <w:t>Sample Template Letter for an Appeal Request (Commercial/WC)</w:t>
      </w:r>
    </w:p>
    <w:p w14:paraId="1005D80C" w14:textId="77777777" w:rsidR="00DD1B2E" w:rsidRDefault="00DD1B2E" w:rsidP="00DD1B2E">
      <w:pPr>
        <w:spacing w:after="0" w:line="240" w:lineRule="auto"/>
        <w:rPr>
          <w:rFonts w:ascii="Arial" w:hAnsi="Arial" w:cs="Arial"/>
          <w:b/>
          <w:color w:val="FF0000"/>
        </w:rPr>
      </w:pPr>
    </w:p>
    <w:p w14:paraId="4B3E0E2A" w14:textId="4B8E7B94" w:rsidR="00DD1B2E" w:rsidRDefault="00DD1B2E" w:rsidP="00DD1B2E">
      <w:pPr>
        <w:jc w:val="center"/>
        <w:rPr>
          <w:rFonts w:cstheme="minorHAnsi"/>
          <w:iCs/>
          <w:color w:val="FF0000"/>
        </w:rPr>
      </w:pPr>
      <w:r>
        <w:rPr>
          <w:rFonts w:cstheme="minorHAnsi"/>
          <w:iCs/>
          <w:color w:val="FF0000"/>
        </w:rPr>
        <w:t>(Insert Physician Letterhead</w:t>
      </w:r>
      <w:r w:rsidR="00B13999">
        <w:rPr>
          <w:rFonts w:cstheme="minorHAnsi"/>
          <w:iCs/>
          <w:color w:val="FF0000"/>
        </w:rPr>
        <w:t xml:space="preserve"> here</w:t>
      </w:r>
      <w:r>
        <w:rPr>
          <w:rFonts w:cstheme="minorHAnsi"/>
          <w:iCs/>
          <w:color w:val="FF0000"/>
        </w:rPr>
        <w:t>)</w:t>
      </w:r>
    </w:p>
    <w:p w14:paraId="26B237E0" w14:textId="77777777" w:rsidR="00DD1B2E" w:rsidRDefault="00DD1B2E" w:rsidP="00DD1B2E">
      <w:pPr>
        <w:spacing w:after="0" w:line="240" w:lineRule="auto"/>
        <w:rPr>
          <w:rFonts w:ascii="Calibri" w:hAnsi="Calibri" w:cs="Calibri"/>
          <w:color w:val="FF0000"/>
        </w:rPr>
      </w:pPr>
      <w:r>
        <w:rPr>
          <w:rFonts w:ascii="Calibri" w:hAnsi="Calibri" w:cs="Calibri"/>
          <w:color w:val="FF0000"/>
        </w:rPr>
        <w:t>DATE</w:t>
      </w:r>
    </w:p>
    <w:p w14:paraId="1E166551" w14:textId="77777777" w:rsidR="00DD1B2E" w:rsidRDefault="00DD1B2E" w:rsidP="00DD1B2E">
      <w:pPr>
        <w:spacing w:after="0" w:line="240" w:lineRule="auto"/>
        <w:rPr>
          <w:rFonts w:ascii="Calibri" w:hAnsi="Calibri" w:cs="Calibri"/>
          <w:color w:val="FF0000"/>
        </w:rPr>
      </w:pPr>
      <w:r>
        <w:rPr>
          <w:rFonts w:ascii="Calibri" w:hAnsi="Calibri" w:cs="Calibri"/>
          <w:color w:val="FF0000"/>
        </w:rPr>
        <w:br/>
      </w:r>
      <w:bookmarkStart w:id="0" w:name="_Hlk15029083"/>
      <w:r>
        <w:rPr>
          <w:rFonts w:ascii="Calibri" w:hAnsi="Calibri" w:cs="Calibri"/>
          <w:color w:val="FF0000"/>
        </w:rPr>
        <w:t>Insurance Name</w:t>
      </w:r>
      <w:bookmarkEnd w:id="0"/>
      <w:r>
        <w:rPr>
          <w:rFonts w:ascii="Calibri" w:hAnsi="Calibri" w:cs="Calibri"/>
          <w:color w:val="FF0000"/>
        </w:rPr>
        <w:t>:</w:t>
      </w:r>
    </w:p>
    <w:p w14:paraId="5C399F34" w14:textId="77777777" w:rsidR="00DD1B2E" w:rsidRDefault="00DD1B2E" w:rsidP="00DD1B2E">
      <w:pPr>
        <w:spacing w:after="0" w:line="240" w:lineRule="auto"/>
        <w:rPr>
          <w:rFonts w:ascii="Calibri" w:hAnsi="Calibri" w:cs="Calibri"/>
          <w:color w:val="FF0000"/>
        </w:rPr>
      </w:pPr>
      <w:r>
        <w:rPr>
          <w:rFonts w:ascii="Calibri" w:hAnsi="Calibri" w:cs="Calibri"/>
          <w:color w:val="FF0000"/>
        </w:rPr>
        <w:t>Attn: Appeals Department</w:t>
      </w:r>
      <w:r>
        <w:rPr>
          <w:rFonts w:ascii="Calibri" w:hAnsi="Calibri" w:cs="Calibri"/>
          <w:color w:val="FF0000"/>
        </w:rPr>
        <w:br/>
        <w:t>Street Address</w:t>
      </w:r>
    </w:p>
    <w:p w14:paraId="299D725F" w14:textId="77777777" w:rsidR="00DD1B2E" w:rsidRDefault="00DD1B2E" w:rsidP="00DD1B2E">
      <w:pPr>
        <w:spacing w:after="0" w:line="240" w:lineRule="auto"/>
        <w:rPr>
          <w:rFonts w:ascii="Calibri" w:hAnsi="Calibri" w:cs="Calibri"/>
          <w:color w:val="FF0000"/>
        </w:rPr>
      </w:pPr>
      <w:r>
        <w:rPr>
          <w:rFonts w:ascii="Calibri" w:hAnsi="Calibri" w:cs="Calibri"/>
          <w:color w:val="FF0000"/>
        </w:rPr>
        <w:t>City, State, Zip</w:t>
      </w:r>
    </w:p>
    <w:p w14:paraId="1839703E" w14:textId="77777777" w:rsidR="00DD1B2E" w:rsidRDefault="00DD1B2E" w:rsidP="00DD1B2E">
      <w:pPr>
        <w:spacing w:after="0" w:line="240" w:lineRule="auto"/>
        <w:rPr>
          <w:rFonts w:ascii="Calibri" w:hAnsi="Calibri" w:cs="Calibri"/>
          <w:b/>
          <w:color w:val="FF0000"/>
        </w:rPr>
      </w:pPr>
      <w:r>
        <w:rPr>
          <w:rFonts w:ascii="Calibri" w:hAnsi="Calibri" w:cs="Calibri"/>
          <w:bCs/>
          <w:color w:val="FF0000"/>
        </w:rPr>
        <w:t>Fax Number:</w:t>
      </w:r>
      <w:r>
        <w:rPr>
          <w:rFonts w:ascii="Calibri" w:hAnsi="Calibri" w:cs="Calibri"/>
          <w:b/>
          <w:color w:val="FF0000"/>
        </w:rPr>
        <w:t xml:space="preserve"> </w:t>
      </w:r>
    </w:p>
    <w:p w14:paraId="6E93CA2B" w14:textId="77777777" w:rsidR="00DD1B2E" w:rsidRDefault="00DD1B2E" w:rsidP="00DD1B2E">
      <w:pPr>
        <w:spacing w:after="0" w:line="240" w:lineRule="auto"/>
        <w:rPr>
          <w:rFonts w:ascii="Calibri" w:hAnsi="Calibri" w:cs="Calibri"/>
          <w:color w:val="FF0000"/>
        </w:rPr>
      </w:pPr>
    </w:p>
    <w:p w14:paraId="36BFD70C" w14:textId="77777777" w:rsidR="00DD1B2E" w:rsidRDefault="00DD1B2E" w:rsidP="00DD1B2E">
      <w:pPr>
        <w:spacing w:after="0" w:line="240" w:lineRule="auto"/>
        <w:rPr>
          <w:rFonts w:ascii="Calibri" w:hAnsi="Calibri" w:cs="Calibri"/>
          <w:color w:val="FF0000"/>
        </w:rPr>
      </w:pPr>
      <w:r>
        <w:rPr>
          <w:rFonts w:ascii="Calibri" w:hAnsi="Calibri" w:cs="Calibri"/>
          <w:color w:val="FF0000"/>
        </w:rPr>
        <w:t>Patient Name:</w:t>
      </w:r>
    </w:p>
    <w:p w14:paraId="78A9B1E9" w14:textId="77777777" w:rsidR="00DD1B2E" w:rsidRDefault="00DD1B2E" w:rsidP="00DD1B2E">
      <w:pPr>
        <w:spacing w:after="0" w:line="240" w:lineRule="auto"/>
        <w:rPr>
          <w:rFonts w:ascii="Calibri" w:hAnsi="Calibri" w:cs="Calibri"/>
          <w:color w:val="FF0000"/>
        </w:rPr>
      </w:pPr>
      <w:r>
        <w:rPr>
          <w:rFonts w:ascii="Calibri" w:hAnsi="Calibri" w:cs="Calibri"/>
          <w:color w:val="FF0000"/>
        </w:rPr>
        <w:t>ID Number:</w:t>
      </w:r>
    </w:p>
    <w:p w14:paraId="211B2D95" w14:textId="77777777" w:rsidR="00DD1B2E" w:rsidRDefault="00DD1B2E" w:rsidP="00DD1B2E">
      <w:pPr>
        <w:spacing w:after="0" w:line="240" w:lineRule="auto"/>
        <w:rPr>
          <w:rFonts w:ascii="Calibri" w:hAnsi="Calibri" w:cs="Calibri"/>
          <w:color w:val="FF0000"/>
        </w:rPr>
      </w:pPr>
      <w:r>
        <w:rPr>
          <w:rFonts w:ascii="Calibri" w:hAnsi="Calibri" w:cs="Calibri"/>
          <w:color w:val="FF0000"/>
        </w:rPr>
        <w:t>Group Number:</w:t>
      </w:r>
    </w:p>
    <w:p w14:paraId="2AB0835F" w14:textId="77777777" w:rsidR="00DD1B2E" w:rsidRDefault="00DD1B2E" w:rsidP="00DD1B2E">
      <w:pPr>
        <w:spacing w:after="0" w:line="240" w:lineRule="auto"/>
        <w:rPr>
          <w:rFonts w:ascii="Calibri" w:hAnsi="Calibri" w:cs="Calibri"/>
          <w:color w:val="FF0000"/>
        </w:rPr>
      </w:pPr>
      <w:r>
        <w:rPr>
          <w:rFonts w:ascii="Calibri" w:hAnsi="Calibri" w:cs="Calibri"/>
          <w:color w:val="FF0000"/>
        </w:rPr>
        <w:t>Date of Birth:</w:t>
      </w:r>
    </w:p>
    <w:p w14:paraId="50ACAFF9" w14:textId="77777777" w:rsidR="00DD1B2E" w:rsidRDefault="00DD1B2E" w:rsidP="00DD1B2E">
      <w:pPr>
        <w:spacing w:after="0" w:line="240" w:lineRule="auto"/>
        <w:rPr>
          <w:rFonts w:ascii="Calibri" w:hAnsi="Calibri" w:cs="Calibri"/>
          <w:color w:val="FF0000"/>
        </w:rPr>
      </w:pPr>
      <w:r>
        <w:rPr>
          <w:rFonts w:ascii="Calibri" w:hAnsi="Calibri" w:cs="Calibri"/>
          <w:color w:val="FF0000"/>
        </w:rPr>
        <w:t>Case Reference Number:</w:t>
      </w:r>
    </w:p>
    <w:p w14:paraId="0BE7C2D8" w14:textId="77777777" w:rsidR="00DD1B2E" w:rsidRDefault="00DD1B2E" w:rsidP="00DD1B2E">
      <w:pPr>
        <w:spacing w:after="0" w:line="240" w:lineRule="auto"/>
        <w:rPr>
          <w:rFonts w:ascii="Calibri" w:hAnsi="Calibri" w:cs="Calibri"/>
          <w:color w:val="FF0000"/>
        </w:rPr>
      </w:pPr>
    </w:p>
    <w:p w14:paraId="552A94B6" w14:textId="3CE083CF" w:rsidR="00DD1B2E" w:rsidRDefault="00DD1B2E" w:rsidP="00DD1B2E">
      <w:r w:rsidRPr="00EA6276">
        <w:rPr>
          <w:b/>
          <w:bCs/>
          <w:u w:val="single"/>
        </w:rPr>
        <w:t>Procedure Code</w:t>
      </w:r>
      <w:r>
        <w:t xml:space="preserve">: </w:t>
      </w:r>
      <w:r w:rsidRPr="00DD1B2E">
        <w:t xml:space="preserve">22869, +22870 Insertion </w:t>
      </w:r>
      <w:r>
        <w:t>of a lumbar interspinous process stabilization device without decompression or fusion</w:t>
      </w:r>
    </w:p>
    <w:p w14:paraId="5D97E574" w14:textId="537367FC" w:rsidR="00DD1B2E" w:rsidRDefault="00DD1B2E" w:rsidP="00DD1B2E">
      <w:r w:rsidRPr="00EA6276">
        <w:rPr>
          <w:b/>
          <w:bCs/>
          <w:u w:val="single"/>
        </w:rPr>
        <w:t>Principal Diagnosis</w:t>
      </w:r>
      <w:r w:rsidRPr="00DD1B2E">
        <w:t>: M48.062</w:t>
      </w:r>
    </w:p>
    <w:p w14:paraId="572F8286" w14:textId="77777777" w:rsidR="00DD1B2E" w:rsidRDefault="00DD1B2E" w:rsidP="00DD1B2E">
      <w:pPr>
        <w:rPr>
          <w:rFonts w:ascii="Calibri" w:hAnsi="Calibri" w:cs="Calibri"/>
        </w:rPr>
      </w:pPr>
      <w:r>
        <w:rPr>
          <w:rFonts w:ascii="Calibri" w:hAnsi="Calibri" w:cs="Calibri"/>
        </w:rPr>
        <w:t>To Whom It May Concern:</w:t>
      </w:r>
    </w:p>
    <w:p w14:paraId="54AF460A" w14:textId="084B4DB0" w:rsidR="00DD1B2E" w:rsidRDefault="00DD1B2E" w:rsidP="00DD1B2E">
      <w:pPr>
        <w:rPr>
          <w:rFonts w:ascii="Calibri" w:hAnsi="Calibri" w:cs="Calibri"/>
        </w:rPr>
      </w:pPr>
      <w:r>
        <w:rPr>
          <w:rFonts w:ascii="Calibri" w:hAnsi="Calibri" w:cs="Calibri"/>
        </w:rPr>
        <w:t xml:space="preserve">I am writing on behalf of, </w:t>
      </w:r>
      <w:r>
        <w:rPr>
          <w:rFonts w:ascii="Calibri" w:hAnsi="Calibri" w:cs="Calibri"/>
          <w:color w:val="FF0000"/>
        </w:rPr>
        <w:t>Patient Name</w:t>
      </w:r>
      <w:r>
        <w:rPr>
          <w:rFonts w:ascii="Calibri" w:hAnsi="Calibri" w:cs="Calibri"/>
        </w:rPr>
        <w:t xml:space="preserve">, to appeal the decision to deny the preauthorization request regarding coverage for the posterior interspinous decompression spacer procedure to treat </w:t>
      </w:r>
      <w:r w:rsidR="00F56E29">
        <w:rPr>
          <w:rFonts w:ascii="Calibri" w:hAnsi="Calibri" w:cs="Calibri"/>
        </w:rPr>
        <w:t>L</w:t>
      </w:r>
      <w:r>
        <w:rPr>
          <w:rFonts w:ascii="Calibri" w:hAnsi="Calibri" w:cs="Calibri"/>
        </w:rPr>
        <w:t xml:space="preserve">umbar </w:t>
      </w:r>
      <w:r w:rsidR="00F56E29">
        <w:rPr>
          <w:rFonts w:ascii="Calibri" w:hAnsi="Calibri" w:cs="Calibri"/>
        </w:rPr>
        <w:t>S</w:t>
      </w:r>
      <w:r>
        <w:rPr>
          <w:rFonts w:ascii="Calibri" w:hAnsi="Calibri" w:cs="Calibri"/>
        </w:rPr>
        <w:t xml:space="preserve">pinal </w:t>
      </w:r>
      <w:r w:rsidR="00F56E29">
        <w:rPr>
          <w:rFonts w:ascii="Calibri" w:hAnsi="Calibri" w:cs="Calibri"/>
        </w:rPr>
        <w:t>S</w:t>
      </w:r>
      <w:r>
        <w:rPr>
          <w:rFonts w:ascii="Calibri" w:hAnsi="Calibri" w:cs="Calibri"/>
        </w:rPr>
        <w:t>tenosis</w:t>
      </w:r>
      <w:r w:rsidR="00C13C8B">
        <w:rPr>
          <w:rFonts w:ascii="Calibri" w:hAnsi="Calibri" w:cs="Calibri"/>
        </w:rPr>
        <w:t xml:space="preserve"> with Neurogenic Claudication</w:t>
      </w:r>
      <w:r>
        <w:rPr>
          <w:rFonts w:ascii="Calibri" w:hAnsi="Calibri" w:cs="Calibri"/>
        </w:rPr>
        <w:t>.</w:t>
      </w:r>
      <w:r w:rsidR="00C13C8B">
        <w:rPr>
          <w:rFonts w:ascii="Calibri" w:hAnsi="Calibri" w:cs="Calibri"/>
        </w:rPr>
        <w:t xml:space="preserve">  It was noted in the denial that your medical policy considers this procedure as </w:t>
      </w:r>
      <w:r w:rsidR="00C13C8B" w:rsidRPr="00F56E29">
        <w:rPr>
          <w:rFonts w:ascii="Calibri" w:hAnsi="Calibri" w:cs="Calibri"/>
        </w:rPr>
        <w:t xml:space="preserve">experimental/investigational or that my patient does not meet medical necessity.  </w:t>
      </w:r>
      <w:r w:rsidR="0015072E">
        <w:rPr>
          <w:rFonts w:ascii="Calibri" w:hAnsi="Calibri" w:cs="Calibri"/>
        </w:rPr>
        <w:t xml:space="preserve">It is important to note that Superion (Vertiflex Procedure) is not experimental or investigational.  The Superion Interspinous Spacer is a minimally invasive, </w:t>
      </w:r>
      <w:r w:rsidR="0015072E" w:rsidRPr="0015072E">
        <w:rPr>
          <w:rFonts w:ascii="Calibri" w:hAnsi="Calibri" w:cs="Calibri"/>
          <w:b/>
          <w:bCs/>
        </w:rPr>
        <w:t>FDA approved</w:t>
      </w:r>
      <w:r w:rsidR="0015072E">
        <w:rPr>
          <w:rFonts w:ascii="Calibri" w:hAnsi="Calibri" w:cs="Calibri"/>
        </w:rPr>
        <w:t xml:space="preserve"> device that is backed up by the </w:t>
      </w:r>
      <w:r w:rsidR="0015072E" w:rsidRPr="0015072E">
        <w:rPr>
          <w:rFonts w:ascii="Calibri" w:hAnsi="Calibri" w:cs="Calibri"/>
          <w:b/>
          <w:bCs/>
        </w:rPr>
        <w:t>largest body of clinical evidence evaluating the safety and efficacy</w:t>
      </w:r>
      <w:r w:rsidR="0015072E">
        <w:rPr>
          <w:rFonts w:ascii="Calibri" w:hAnsi="Calibri" w:cs="Calibri"/>
        </w:rPr>
        <w:t xml:space="preserve"> of a medical device intended to treat Lumbar Spinal Stenosis with Neurogenic Claudication.  </w:t>
      </w:r>
    </w:p>
    <w:p w14:paraId="631ED508" w14:textId="4E4C4AFE" w:rsidR="00DD1B2E" w:rsidRDefault="00DD1B2E" w:rsidP="00DD1B2E">
      <w:pPr>
        <w:rPr>
          <w:rFonts w:ascii="Calibri" w:hAnsi="Calibri" w:cs="Calibri"/>
        </w:rPr>
      </w:pPr>
      <w:r>
        <w:rPr>
          <w:rFonts w:ascii="Calibri" w:hAnsi="Calibri" w:cs="Calibri"/>
          <w:color w:val="FF0000"/>
        </w:rPr>
        <w:t xml:space="preserve">Patient Name </w:t>
      </w:r>
      <w:r>
        <w:rPr>
          <w:rFonts w:ascii="Calibri" w:hAnsi="Calibri" w:cs="Calibri"/>
        </w:rPr>
        <w:t>has been suffering from lumbar spinal stenosis</w:t>
      </w:r>
      <w:r w:rsidR="00F56E29">
        <w:rPr>
          <w:rFonts w:ascii="Calibri" w:hAnsi="Calibri" w:cs="Calibri"/>
        </w:rPr>
        <w:t xml:space="preserve"> with neurogenic claudication</w:t>
      </w:r>
      <w:r>
        <w:rPr>
          <w:rFonts w:ascii="Calibri" w:hAnsi="Calibri" w:cs="Calibri"/>
        </w:rPr>
        <w:t xml:space="preserve"> for</w:t>
      </w:r>
      <w:r w:rsidR="00BC0D43">
        <w:rPr>
          <w:rFonts w:ascii="Calibri" w:hAnsi="Calibri" w:cs="Calibri"/>
        </w:rPr>
        <w:t xml:space="preserve"> over 6 months.  </w:t>
      </w:r>
      <w:r w:rsidR="00F56E29">
        <w:rPr>
          <w:rFonts w:ascii="Calibri" w:hAnsi="Calibri" w:cs="Calibri"/>
        </w:rPr>
        <w:t xml:space="preserve">This condition causes </w:t>
      </w:r>
      <w:r>
        <w:rPr>
          <w:rFonts w:ascii="Calibri" w:hAnsi="Calibri" w:cs="Calibri"/>
        </w:rPr>
        <w:t>moderate to severe leg, buttock, groin and/or back pain, including numbness and weakness in the lower extremities</w:t>
      </w:r>
      <w:r w:rsidR="00F56E29">
        <w:rPr>
          <w:rFonts w:ascii="Calibri" w:hAnsi="Calibri" w:cs="Calibri"/>
        </w:rPr>
        <w:t>.</w:t>
      </w:r>
      <w:r>
        <w:rPr>
          <w:rFonts w:ascii="Calibri" w:hAnsi="Calibri" w:cs="Calibri"/>
        </w:rPr>
        <w:t xml:space="preserve"> Th</w:t>
      </w:r>
      <w:r w:rsidR="00F56E29">
        <w:rPr>
          <w:rFonts w:ascii="Calibri" w:hAnsi="Calibri" w:cs="Calibri"/>
        </w:rPr>
        <w:t>e pain, numbness, and weakness</w:t>
      </w:r>
      <w:r>
        <w:rPr>
          <w:rFonts w:ascii="Calibri" w:hAnsi="Calibri" w:cs="Calibri"/>
        </w:rPr>
        <w:t xml:space="preserve"> </w:t>
      </w:r>
      <w:proofErr w:type="gramStart"/>
      <w:r>
        <w:rPr>
          <w:rFonts w:ascii="Calibri" w:hAnsi="Calibri" w:cs="Calibri"/>
        </w:rPr>
        <w:t>is</w:t>
      </w:r>
      <w:proofErr w:type="gramEnd"/>
      <w:r>
        <w:rPr>
          <w:rFonts w:ascii="Calibri" w:hAnsi="Calibri" w:cs="Calibri"/>
        </w:rPr>
        <w:t xml:space="preserve"> a major contributor </w:t>
      </w:r>
      <w:r w:rsidR="00F56E29">
        <w:rPr>
          <w:rFonts w:ascii="Calibri" w:hAnsi="Calibri" w:cs="Calibri"/>
        </w:rPr>
        <w:t>to disability,</w:t>
      </w:r>
      <w:r>
        <w:rPr>
          <w:rFonts w:ascii="Calibri" w:hAnsi="Calibri" w:cs="Calibri"/>
        </w:rPr>
        <w:t xml:space="preserve"> lost productivity</w:t>
      </w:r>
      <w:r w:rsidR="00F56E29">
        <w:rPr>
          <w:rFonts w:ascii="Calibri" w:hAnsi="Calibri" w:cs="Calibri"/>
        </w:rPr>
        <w:t xml:space="preserve">, and leads to a less active, sedentary lifestyle.  </w:t>
      </w:r>
    </w:p>
    <w:p w14:paraId="30DF8739" w14:textId="7F069549" w:rsidR="00DD1B2E" w:rsidRDefault="00DD1B2E" w:rsidP="00DD1B2E">
      <w:pPr>
        <w:spacing w:after="0" w:line="240" w:lineRule="auto"/>
        <w:rPr>
          <w:rFonts w:ascii="Calibri" w:hAnsi="Calibri" w:cs="Calibri"/>
        </w:rPr>
      </w:pPr>
      <w:r>
        <w:rPr>
          <w:rFonts w:ascii="Calibri" w:hAnsi="Calibri" w:cs="Calibri"/>
        </w:rPr>
        <w:t xml:space="preserve">The appropriate treatment options currently available to this patient </w:t>
      </w:r>
      <w:r w:rsidR="0021311C">
        <w:rPr>
          <w:rFonts w:ascii="Calibri" w:hAnsi="Calibri" w:cs="Calibri"/>
        </w:rPr>
        <w:t>are</w:t>
      </w:r>
      <w:r w:rsidRPr="00DD1B2E">
        <w:rPr>
          <w:rFonts w:ascii="Calibri" w:hAnsi="Calibri" w:cs="Calibri"/>
        </w:rPr>
        <w:t xml:space="preserve"> continued conservative treatment, minimally invasive placement of a posterior interspinous process space</w:t>
      </w:r>
      <w:r>
        <w:rPr>
          <w:rFonts w:ascii="Calibri" w:hAnsi="Calibri" w:cs="Calibri"/>
        </w:rPr>
        <w:t>r</w:t>
      </w:r>
      <w:r w:rsidRPr="00DD1B2E">
        <w:rPr>
          <w:rFonts w:ascii="Calibri" w:hAnsi="Calibri" w:cs="Calibri"/>
        </w:rPr>
        <w:t xml:space="preserve"> or decompressive surgery (lumbar laminectomy and/or fusion).</w:t>
      </w:r>
    </w:p>
    <w:p w14:paraId="0A535E17" w14:textId="77777777" w:rsidR="00DD1B2E" w:rsidRDefault="00DD1B2E" w:rsidP="00DD1B2E">
      <w:pPr>
        <w:spacing w:after="0" w:line="240" w:lineRule="auto"/>
        <w:ind w:left="720"/>
        <w:rPr>
          <w:rFonts w:ascii="Calibri" w:hAnsi="Calibri" w:cs="Calibri"/>
        </w:rPr>
      </w:pPr>
    </w:p>
    <w:p w14:paraId="50074E78" w14:textId="15550E7C" w:rsidR="00DD1B2E" w:rsidRDefault="00DD1B2E" w:rsidP="00A27A48">
      <w:pPr>
        <w:spacing w:after="0" w:line="240" w:lineRule="auto"/>
        <w:rPr>
          <w:rFonts w:ascii="Calibri" w:hAnsi="Calibri" w:cs="Calibri"/>
          <w:color w:val="FF0000"/>
        </w:rPr>
      </w:pPr>
      <w:r>
        <w:rPr>
          <w:rFonts w:ascii="Calibri" w:hAnsi="Calibri" w:cs="Calibri"/>
        </w:rPr>
        <w:t xml:space="preserve">As this patient’s treating physician, I believe that the placement of a posterior interspinous process spacer is the least invasive </w:t>
      </w:r>
      <w:r w:rsidR="00BC0D43">
        <w:rPr>
          <w:rFonts w:ascii="Calibri" w:hAnsi="Calibri" w:cs="Calibri"/>
        </w:rPr>
        <w:t xml:space="preserve">and most cost effective </w:t>
      </w:r>
      <w:r w:rsidR="0021311C">
        <w:rPr>
          <w:rFonts w:ascii="Calibri" w:hAnsi="Calibri" w:cs="Calibri"/>
        </w:rPr>
        <w:t xml:space="preserve">option with the highest probability of success.  This procedure is </w:t>
      </w:r>
      <w:r>
        <w:rPr>
          <w:rFonts w:ascii="Calibri" w:hAnsi="Calibri" w:cs="Calibri"/>
        </w:rPr>
        <w:t>reasonable and medically necessary for the reasons</w:t>
      </w:r>
      <w:r w:rsidR="00A27A48">
        <w:rPr>
          <w:rFonts w:ascii="Calibri" w:hAnsi="Calibri" w:cs="Calibri"/>
        </w:rPr>
        <w:t xml:space="preserve"> outlined in </w:t>
      </w:r>
      <w:r w:rsidR="00A27A48" w:rsidRPr="0015072E">
        <w:rPr>
          <w:rFonts w:ascii="Calibri" w:hAnsi="Calibri" w:cs="Calibri"/>
          <w:color w:val="FF0000"/>
        </w:rPr>
        <w:t xml:space="preserve">his/her </w:t>
      </w:r>
      <w:r w:rsidR="00A27A48">
        <w:rPr>
          <w:rFonts w:ascii="Calibri" w:hAnsi="Calibri" w:cs="Calibri"/>
        </w:rPr>
        <w:t>recent clinical evaluation.</w:t>
      </w:r>
      <w:r w:rsidR="0015072E">
        <w:rPr>
          <w:rFonts w:ascii="Calibri" w:hAnsi="Calibri" w:cs="Calibri"/>
        </w:rPr>
        <w:t xml:space="preserve">  I have included this clinical documentation with the letter.  </w:t>
      </w:r>
    </w:p>
    <w:p w14:paraId="435A2178" w14:textId="77777777" w:rsidR="00DD1B2E" w:rsidRDefault="00DD1B2E" w:rsidP="00DD1B2E">
      <w:pPr>
        <w:spacing w:after="0" w:line="240" w:lineRule="auto"/>
        <w:rPr>
          <w:rFonts w:ascii="Calibri" w:hAnsi="Calibri" w:cs="Calibri"/>
          <w:color w:val="FF0000"/>
        </w:rPr>
      </w:pPr>
    </w:p>
    <w:p w14:paraId="73C2C432" w14:textId="2C5DBF2F" w:rsidR="00DD1B2E" w:rsidRDefault="00DD1B2E" w:rsidP="00DD1B2E">
      <w:pPr>
        <w:spacing w:after="0" w:line="240" w:lineRule="auto"/>
        <w:rPr>
          <w:rFonts w:ascii="Calibri" w:hAnsi="Calibri" w:cs="Calibri"/>
          <w:color w:val="FF0000"/>
        </w:rPr>
      </w:pPr>
      <w:r>
        <w:rPr>
          <w:rFonts w:ascii="Calibri" w:hAnsi="Calibri" w:cs="Calibri"/>
        </w:rPr>
        <w:lastRenderedPageBreak/>
        <w:t>Although surgical decompression is the other treatment option,</w:t>
      </w:r>
      <w:bookmarkStart w:id="1" w:name="_Hlk508197996"/>
      <w:r w:rsidR="00A27A48">
        <w:rPr>
          <w:rFonts w:ascii="Calibri" w:hAnsi="Calibri" w:cs="Calibri"/>
        </w:rPr>
        <w:t xml:space="preserve"> </w:t>
      </w:r>
      <w:r w:rsidR="00A27A48" w:rsidRPr="00A27A48">
        <w:rPr>
          <w:rFonts w:ascii="Calibri" w:hAnsi="Calibri" w:cs="Calibri"/>
          <w:color w:val="FF0000"/>
        </w:rPr>
        <w:t>Patient Name</w:t>
      </w:r>
      <w:r w:rsidRPr="00A27A48">
        <w:rPr>
          <w:rFonts w:ascii="Calibri" w:hAnsi="Calibri" w:cs="Calibri"/>
          <w:color w:val="FF0000"/>
        </w:rPr>
        <w:t xml:space="preserve"> </w:t>
      </w:r>
      <w:r>
        <w:rPr>
          <w:rFonts w:ascii="Calibri" w:hAnsi="Calibri" w:cs="Calibri"/>
          <w:color w:val="FF0000"/>
        </w:rPr>
        <w:t xml:space="preserve">is not a good candidate for such </w:t>
      </w:r>
      <w:bookmarkStart w:id="2" w:name="_Hlk505606194"/>
      <w:r>
        <w:rPr>
          <w:rFonts w:ascii="Calibri" w:hAnsi="Calibri" w:cs="Calibri"/>
          <w:color w:val="FF0000"/>
        </w:rPr>
        <w:t>an invasive surgical procedure</w:t>
      </w:r>
      <w:r w:rsidR="00A27A48">
        <w:rPr>
          <w:rFonts w:ascii="Calibri" w:hAnsi="Calibri" w:cs="Calibri"/>
          <w:color w:val="FF0000"/>
        </w:rPr>
        <w:t>.</w:t>
      </w:r>
      <w:r>
        <w:rPr>
          <w:rFonts w:ascii="Calibri" w:hAnsi="Calibri" w:cs="Calibri"/>
          <w:color w:val="FF0000"/>
        </w:rPr>
        <w:t xml:space="preserve"> </w:t>
      </w:r>
      <w:bookmarkEnd w:id="2"/>
      <w:r>
        <w:rPr>
          <w:rFonts w:ascii="Calibri" w:hAnsi="Calibri" w:cs="Calibri"/>
          <w:color w:val="FF0000"/>
        </w:rPr>
        <w:t>(Please provide any concurrent co-morbidities the patient may have and the correlation with the patient’s age.) and/or the patient does not want to have such a significant surgical procedure at this time</w:t>
      </w:r>
      <w:bookmarkEnd w:id="1"/>
      <w:r>
        <w:rPr>
          <w:rFonts w:ascii="Calibri" w:hAnsi="Calibri" w:cs="Calibri"/>
          <w:color w:val="FF0000"/>
        </w:rPr>
        <w:t xml:space="preserve"> when an FDA-approved minimally invasive treatment option is available.</w:t>
      </w:r>
    </w:p>
    <w:p w14:paraId="237C3782" w14:textId="77777777" w:rsidR="00A27A48" w:rsidRDefault="00A27A48" w:rsidP="00DD1B2E">
      <w:pPr>
        <w:spacing w:after="0" w:line="240" w:lineRule="auto"/>
        <w:rPr>
          <w:rFonts w:ascii="Calibri" w:hAnsi="Calibri" w:cs="Calibri"/>
          <w:color w:val="FF0000"/>
        </w:rPr>
      </w:pPr>
    </w:p>
    <w:p w14:paraId="11ED9692" w14:textId="77777777" w:rsidR="00DD1B2E" w:rsidRDefault="00DD1B2E" w:rsidP="00DD1B2E">
      <w:pPr>
        <w:spacing w:after="0" w:line="240" w:lineRule="auto"/>
        <w:rPr>
          <w:rFonts w:ascii="Calibri" w:hAnsi="Calibri" w:cs="Calibri"/>
          <w:color w:val="FF0000"/>
        </w:rPr>
      </w:pPr>
      <w:r>
        <w:t xml:space="preserve">According to a recent study specific to treating LSS patients with concurrent medical comorbidities, </w:t>
      </w:r>
      <w:r>
        <w:rPr>
          <w:rFonts w:cstheme="minorHAnsi"/>
          <w:color w:val="222222"/>
        </w:rPr>
        <w:t>“similar to other minimally invasive techniques it has specific advantages over more open spinal surgical procedures, including shorter procedure time, the possibility to be performed under local anesthesia,</w:t>
      </w:r>
      <w:r>
        <w:rPr>
          <w:rFonts w:cstheme="minorHAnsi"/>
          <w:color w:val="FF0000"/>
        </w:rPr>
        <w:t xml:space="preserve"> </w:t>
      </w:r>
      <w:r>
        <w:rPr>
          <w:rFonts w:cstheme="minorHAnsi"/>
          <w:color w:val="222222"/>
        </w:rPr>
        <w:t>minimal or no muscle disruption or blood loss and less risks of nerve damage or cerebrospinal</w:t>
      </w:r>
      <w:r>
        <w:rPr>
          <w:rFonts w:cstheme="minorHAnsi"/>
          <w:color w:val="FF0000"/>
        </w:rPr>
        <w:t xml:space="preserve"> </w:t>
      </w:r>
      <w:r>
        <w:rPr>
          <w:rFonts w:cstheme="minorHAnsi"/>
          <w:color w:val="222222"/>
        </w:rPr>
        <w:t>fluid leaks.” (Hartman 2019).</w:t>
      </w:r>
    </w:p>
    <w:p w14:paraId="62B621CC" w14:textId="77777777" w:rsidR="00DD1B2E" w:rsidRDefault="00DD1B2E" w:rsidP="00DD1B2E">
      <w:pPr>
        <w:spacing w:after="0" w:line="240" w:lineRule="auto"/>
        <w:rPr>
          <w:rFonts w:ascii="Calibri" w:hAnsi="Calibri" w:cs="Calibri"/>
        </w:rPr>
      </w:pPr>
    </w:p>
    <w:p w14:paraId="003B893F" w14:textId="265FE733" w:rsidR="00DD1B2E" w:rsidRDefault="00DD1B2E" w:rsidP="00DD1B2E">
      <w:pPr>
        <w:rPr>
          <w:rFonts w:ascii="Calibri" w:hAnsi="Calibri" w:cs="Calibri"/>
        </w:rPr>
      </w:pPr>
      <w:r>
        <w:rPr>
          <w:rFonts w:ascii="Calibri" w:hAnsi="Calibri" w:cs="Calibri"/>
        </w:rPr>
        <w:t>Interspinous process distraction (IPD) devices (aka. “spacers”) provide an alternative treatment to address a distinct gap in the continuum of care of lumbar spinal stenosis. Interspinous spacers effectively bridge the often-lengthy interval between failed conservative care and the point where surgical decompression becomes necessary to manage intractable symptoms of neurogenic intermittent claudication secondary to a confirmed diagnosis of LSS at one or two adjacent levels from L1-L5. These devices are inserted posteriorly via a minimally invasive procedure without disruption of osseous or ligamentous tissues. Spacers provide immediate symptom relief by acting as spinal extension blocker to prevent the repetitive compression of neural elements during back extension</w:t>
      </w:r>
      <w:r w:rsidR="00644E43">
        <w:rPr>
          <w:rFonts w:ascii="Calibri" w:hAnsi="Calibri" w:cs="Calibri"/>
        </w:rPr>
        <w:t xml:space="preserve"> (standing).</w:t>
      </w:r>
    </w:p>
    <w:p w14:paraId="070CEC37" w14:textId="77777777" w:rsidR="00DD1B2E" w:rsidRDefault="00DD1B2E" w:rsidP="00DD1B2E">
      <w:pPr>
        <w:rPr>
          <w:rFonts w:ascii="Calibri" w:hAnsi="Calibri" w:cs="Calibri"/>
        </w:rPr>
      </w:pPr>
      <w:r>
        <w:rPr>
          <w:rFonts w:ascii="Calibri" w:hAnsi="Calibri" w:cs="Calibri"/>
        </w:rPr>
        <w:t xml:space="preserve">The interspinous spacer device which I have recommended to my patient is the Superion® Indirect Decompression System. This FDA-approved device is a non-fusion, spinal column load-sharing device used to stabilize the spine at the implanted level. The procedure is performed utilizing a minimally invasive, percutaneous approach through the vertebrae in the posterior spine under local anesthesia. The implant is inserted through a cannula about the size of a dime and does not require surgical dissection. This procedure is performed either a hospital or ambulatory surgical center (ASC) on an outpatient basis. </w:t>
      </w:r>
    </w:p>
    <w:p w14:paraId="15CEA18C" w14:textId="28E41457" w:rsidR="00DD1B2E" w:rsidRDefault="00DD1B2E" w:rsidP="00DD1B2E">
      <w:r>
        <w:rPr>
          <w:rFonts w:ascii="Calibri" w:hAnsi="Calibri" w:cs="Calibri"/>
        </w:rPr>
        <w:t xml:space="preserve">It is important to </w:t>
      </w:r>
      <w:r w:rsidR="00AA2568">
        <w:rPr>
          <w:rFonts w:ascii="Calibri" w:hAnsi="Calibri" w:cs="Calibri"/>
        </w:rPr>
        <w:t xml:space="preserve">again </w:t>
      </w:r>
      <w:r>
        <w:rPr>
          <w:rFonts w:ascii="Calibri" w:hAnsi="Calibri" w:cs="Calibri"/>
        </w:rPr>
        <w:t xml:space="preserve">state </w:t>
      </w:r>
      <w:r w:rsidR="00AA2568">
        <w:rPr>
          <w:rFonts w:ascii="Calibri" w:hAnsi="Calibri" w:cs="Calibri"/>
        </w:rPr>
        <w:t xml:space="preserve">very </w:t>
      </w:r>
      <w:r>
        <w:rPr>
          <w:rFonts w:ascii="Calibri" w:hAnsi="Calibri" w:cs="Calibri"/>
        </w:rPr>
        <w:t xml:space="preserve">clearly that </w:t>
      </w:r>
      <w:r w:rsidRPr="0021311C">
        <w:rPr>
          <w:rFonts w:ascii="Calibri" w:hAnsi="Calibri" w:cs="Calibri"/>
          <w:b/>
          <w:bCs/>
          <w:u w:val="single"/>
        </w:rPr>
        <w:t>this device/procedure is not experimental nor investigational</w:t>
      </w:r>
      <w:r>
        <w:rPr>
          <w:rFonts w:ascii="Calibri" w:hAnsi="Calibri" w:cs="Calibri"/>
        </w:rPr>
        <w:t xml:space="preserve">, based primarily on the substantial body of published clinical literature to support the safety, efficacy, and durability of the Vertiflex Procedure. </w:t>
      </w:r>
      <w:r>
        <w:t xml:space="preserve">In further support of the evidence, ECRI, a Health Technology Assessment, issued a Product Brief indicating that the evidence </w:t>
      </w:r>
      <w:proofErr w:type="spellStart"/>
      <w:r>
        <w:t>ist</w:t>
      </w:r>
      <w:proofErr w:type="spellEnd"/>
      <w:r>
        <w:t xml:space="preserve"> favorable.</w:t>
      </w:r>
    </w:p>
    <w:p w14:paraId="3318361E" w14:textId="77777777" w:rsidR="00DD1B2E" w:rsidRDefault="00DD1B2E" w:rsidP="00DD1B2E">
      <w:pPr>
        <w:rPr>
          <w:rFonts w:ascii="Calibri" w:hAnsi="Calibri" w:cs="Calibri"/>
        </w:rPr>
      </w:pPr>
      <w:r>
        <w:rPr>
          <w:rFonts w:ascii="Calibri" w:hAnsi="Calibri" w:cs="Calibri"/>
        </w:rPr>
        <w:t>There are many clinical benefits associated with the placement of the device for patients suffering from lumbar spinal stenosis including the following results of durable clinical outcomes throughout and after 5 years of clinical follow-up:</w:t>
      </w:r>
    </w:p>
    <w:p w14:paraId="42E0E551" w14:textId="77777777" w:rsidR="00DD1B2E" w:rsidRDefault="00DD1B2E" w:rsidP="00DD1B2E">
      <w:pPr>
        <w:numPr>
          <w:ilvl w:val="0"/>
          <w:numId w:val="1"/>
        </w:numPr>
        <w:spacing w:after="0" w:line="240" w:lineRule="auto"/>
        <w:rPr>
          <w:rFonts w:ascii="Calibri" w:hAnsi="Calibri" w:cs="Calibri"/>
        </w:rPr>
      </w:pPr>
      <w:r>
        <w:rPr>
          <w:rFonts w:ascii="Calibri" w:hAnsi="Calibri" w:cs="Calibri"/>
        </w:rPr>
        <w:t xml:space="preserve">The device/procedure received </w:t>
      </w:r>
      <w:r w:rsidRPr="00644E43">
        <w:rPr>
          <w:rFonts w:ascii="Calibri" w:hAnsi="Calibri" w:cs="Calibri"/>
          <w:b/>
          <w:bCs/>
        </w:rPr>
        <w:t>PMA approval from the FDA in 2015</w:t>
      </w:r>
      <w:r>
        <w:rPr>
          <w:rFonts w:ascii="Calibri" w:hAnsi="Calibri" w:cs="Calibri"/>
        </w:rPr>
        <w:t xml:space="preserve">. This PMA approval was based upon a randomized controlled trial which was the </w:t>
      </w:r>
      <w:r w:rsidRPr="00644E43">
        <w:rPr>
          <w:rFonts w:ascii="Calibri" w:hAnsi="Calibri" w:cs="Calibri"/>
          <w:b/>
          <w:bCs/>
        </w:rPr>
        <w:t>largest FDA IDE medical device trial for lumbar spinal stenosis</w:t>
      </w:r>
    </w:p>
    <w:p w14:paraId="48CA3066" w14:textId="77777777" w:rsidR="00DD1B2E" w:rsidRDefault="00DD1B2E" w:rsidP="00DD1B2E">
      <w:pPr>
        <w:numPr>
          <w:ilvl w:val="0"/>
          <w:numId w:val="1"/>
        </w:numPr>
        <w:spacing w:after="0" w:line="240" w:lineRule="auto"/>
        <w:rPr>
          <w:rFonts w:ascii="Calibri" w:hAnsi="Calibri" w:cs="Calibri"/>
        </w:rPr>
      </w:pPr>
      <w:r>
        <w:rPr>
          <w:rFonts w:ascii="Calibri" w:hAnsi="Calibri" w:cs="Calibri"/>
        </w:rPr>
        <w:t xml:space="preserve">The clinical results from the use of the Superion device are durable. Patients in the Superion IDE trial have been followed for 60 months which has resulted in the publication of 2-year, 3-year, </w:t>
      </w:r>
    </w:p>
    <w:p w14:paraId="0FAFA4A8" w14:textId="77777777" w:rsidR="00DD1B2E" w:rsidRDefault="00DD1B2E" w:rsidP="00DD1B2E">
      <w:pPr>
        <w:spacing w:after="0" w:line="240" w:lineRule="auto"/>
        <w:ind w:left="720"/>
        <w:rPr>
          <w:rFonts w:ascii="Calibri" w:hAnsi="Calibri" w:cs="Calibri"/>
        </w:rPr>
      </w:pPr>
      <w:r>
        <w:rPr>
          <w:rFonts w:ascii="Calibri" w:hAnsi="Calibri" w:cs="Calibri"/>
        </w:rPr>
        <w:t>4-year, and 5-year</w:t>
      </w:r>
      <w:r>
        <w:rPr>
          <w:rFonts w:ascii="Calibri" w:hAnsi="Calibri" w:cs="Calibri"/>
          <w:vertAlign w:val="superscript"/>
        </w:rPr>
        <w:t xml:space="preserve"> </w:t>
      </w:r>
      <w:r>
        <w:rPr>
          <w:rFonts w:ascii="Calibri" w:hAnsi="Calibri" w:cs="Calibri"/>
        </w:rPr>
        <w:t xml:space="preserve">clinical outcomes data.  </w:t>
      </w:r>
    </w:p>
    <w:p w14:paraId="604C6E36" w14:textId="77777777" w:rsidR="00DD1B2E" w:rsidRDefault="00DD1B2E" w:rsidP="00DD1B2E">
      <w:pPr>
        <w:numPr>
          <w:ilvl w:val="0"/>
          <w:numId w:val="2"/>
        </w:numPr>
        <w:spacing w:after="0" w:line="240" w:lineRule="auto"/>
      </w:pPr>
      <w:r>
        <w:t>The Vertiflex</w:t>
      </w:r>
      <w:r>
        <w:rPr>
          <w:rFonts w:cstheme="minorHAnsi"/>
        </w:rPr>
        <w:t>™</w:t>
      </w:r>
      <w:r>
        <w:t xml:space="preserve"> Procedure</w:t>
      </w:r>
      <w:r>
        <w:rPr>
          <w:sz w:val="20"/>
          <w:szCs w:val="20"/>
        </w:rPr>
        <w:t xml:space="preserve">† </w:t>
      </w:r>
      <w:r>
        <w:t>has been reported to reduce leg pain at 5-years post-surgery.              84% of patients surveyed at 60-months post-treatment reported immediate and durable clinically significant improvement, exhibiting a mean of 75% reduction in leg pain vs. baseline.</w:t>
      </w:r>
    </w:p>
    <w:p w14:paraId="6F2CFBC2" w14:textId="77777777" w:rsidR="00DD1B2E" w:rsidRDefault="00DD1B2E" w:rsidP="00DD1B2E">
      <w:pPr>
        <w:numPr>
          <w:ilvl w:val="0"/>
          <w:numId w:val="2"/>
        </w:numPr>
        <w:spacing w:after="0" w:line="240" w:lineRule="auto"/>
      </w:pPr>
      <w:r>
        <w:lastRenderedPageBreak/>
        <w:t>High levels of patient satisfaction have been reported among patients who had the Superion Indirect Decompression System implanted. 90% of patients reported they were “satisfied” or “somewhat satisfied” at 5-year follow up.</w:t>
      </w:r>
    </w:p>
    <w:p w14:paraId="2BC34221" w14:textId="77777777" w:rsidR="00DD1B2E" w:rsidRDefault="00DD1B2E" w:rsidP="00DD1B2E">
      <w:pPr>
        <w:numPr>
          <w:ilvl w:val="0"/>
          <w:numId w:val="2"/>
        </w:numPr>
        <w:spacing w:after="0" w:line="240" w:lineRule="auto"/>
      </w:pPr>
      <w:r>
        <w:t>The same 5-year follow up study reported 75% of patients reported a clinically significant improvement in symptom severity. 81% reported a clinically significant improvement in physical function.</w:t>
      </w:r>
    </w:p>
    <w:p w14:paraId="7CCCC12E" w14:textId="77777777" w:rsidR="00DD1B2E" w:rsidRDefault="00DD1B2E" w:rsidP="00DD1B2E">
      <w:pPr>
        <w:numPr>
          <w:ilvl w:val="0"/>
          <w:numId w:val="1"/>
        </w:numPr>
        <w:spacing w:after="0" w:line="240" w:lineRule="auto"/>
        <w:rPr>
          <w:rFonts w:ascii="Calibri" w:hAnsi="Calibri" w:cs="Calibri"/>
        </w:rPr>
      </w:pPr>
      <w:r>
        <w:rPr>
          <w:rFonts w:ascii="Calibri" w:hAnsi="Calibri" w:cs="Calibri"/>
        </w:rPr>
        <w:t>Significant positive and durable longitudinal changes in SF-12 PCS and MCS scores were reported through 5 years of follow-up.</w:t>
      </w:r>
      <w:r>
        <w:rPr>
          <w:rFonts w:ascii="Calibri" w:hAnsi="Calibri" w:cs="Calibri"/>
          <w:vertAlign w:val="superscript"/>
        </w:rPr>
        <w:t xml:space="preserve"> </w:t>
      </w:r>
    </w:p>
    <w:p w14:paraId="561BEFB4" w14:textId="0B5ED6EB" w:rsidR="00DD1B2E" w:rsidRDefault="00DD1B2E" w:rsidP="00DD1B2E">
      <w:pPr>
        <w:numPr>
          <w:ilvl w:val="0"/>
          <w:numId w:val="1"/>
        </w:numPr>
        <w:spacing w:after="0" w:line="240" w:lineRule="auto"/>
        <w:rPr>
          <w:rFonts w:ascii="Calibri" w:hAnsi="Calibri" w:cs="Calibri"/>
        </w:rPr>
      </w:pPr>
      <w:r>
        <w:rPr>
          <w:rFonts w:ascii="Calibri" w:hAnsi="Calibri" w:cs="Calibri"/>
        </w:rPr>
        <w:t>A significant reduction in opiate use among Superion patients between the preoperative baseline period of the IDE trial through five years of clinical follow-up</w:t>
      </w:r>
      <w:r>
        <w:rPr>
          <w:rFonts w:ascii="Calibri" w:hAnsi="Calibri" w:cs="Calibri"/>
          <w:vertAlign w:val="superscript"/>
        </w:rPr>
        <w:t xml:space="preserve"> </w:t>
      </w:r>
      <w:r>
        <w:rPr>
          <w:rFonts w:ascii="Calibri" w:hAnsi="Calibri" w:cs="Calibri"/>
        </w:rPr>
        <w:t>has been shown in a recent 2018 publication. Between baseline and 5 years of follow-up, there was an 85% decrease in the proportion of subjects using opioids. A similar pattern was also observed among subjects with a history of opiates before entering the trial.</w:t>
      </w:r>
    </w:p>
    <w:p w14:paraId="5067ACAB" w14:textId="57F38D44" w:rsidR="00A27A48" w:rsidRDefault="002B2B8F" w:rsidP="00DD1B2E">
      <w:pPr>
        <w:numPr>
          <w:ilvl w:val="0"/>
          <w:numId w:val="1"/>
        </w:numPr>
        <w:spacing w:after="0" w:line="240" w:lineRule="auto"/>
        <w:rPr>
          <w:rFonts w:ascii="Calibri" w:hAnsi="Calibri" w:cs="Calibri"/>
        </w:rPr>
      </w:pPr>
      <w:r>
        <w:rPr>
          <w:rFonts w:ascii="Calibri" w:hAnsi="Calibri" w:cs="Calibri"/>
        </w:rPr>
        <w:t xml:space="preserve">In a study comparing the 2-Year outcome data for Superion (Vertiflex Procedure) to the “gold standard” decompressive Laminectomy, it was found that both Superion and Laminectomy offer similarly robust and durable clinical improvements in </w:t>
      </w:r>
      <w:proofErr w:type="spellStart"/>
      <w:r>
        <w:rPr>
          <w:rFonts w:ascii="Calibri" w:hAnsi="Calibri" w:cs="Calibri"/>
        </w:rPr>
        <w:t>claudicant</w:t>
      </w:r>
      <w:proofErr w:type="spellEnd"/>
      <w:r>
        <w:rPr>
          <w:rFonts w:ascii="Calibri" w:hAnsi="Calibri" w:cs="Calibri"/>
        </w:rPr>
        <w:t xml:space="preserve"> symptoms.  </w:t>
      </w:r>
    </w:p>
    <w:p w14:paraId="56626B9D" w14:textId="77777777" w:rsidR="00F56C0F" w:rsidRDefault="00DD1B2E" w:rsidP="008648C8">
      <w:pPr>
        <w:numPr>
          <w:ilvl w:val="0"/>
          <w:numId w:val="1"/>
        </w:numPr>
        <w:rPr>
          <w:rFonts w:ascii="Calibri" w:hAnsi="Calibri" w:cs="Calibri"/>
        </w:rPr>
      </w:pPr>
      <w:r w:rsidRPr="00F56C0F">
        <w:rPr>
          <w:rFonts w:ascii="Calibri" w:hAnsi="Calibri" w:cs="Calibri"/>
        </w:rPr>
        <w:t>Regarding the current coverage and reimbursement landscape, the Vertiflex Procedure is being reimbursed by all Medicare Administrative Contractors (MACs), including various commercial payers when medically necessary for patients meeting the approved indications for use and clinical criteria.</w:t>
      </w:r>
    </w:p>
    <w:p w14:paraId="56DA2F8B" w14:textId="26548D12" w:rsidR="00A27A48" w:rsidRPr="00F56C0F" w:rsidRDefault="002B2B8F" w:rsidP="008648C8">
      <w:pPr>
        <w:numPr>
          <w:ilvl w:val="0"/>
          <w:numId w:val="1"/>
        </w:numPr>
        <w:rPr>
          <w:rFonts w:ascii="Calibri" w:hAnsi="Calibri" w:cs="Calibri"/>
        </w:rPr>
      </w:pPr>
      <w:r w:rsidRPr="00F56C0F">
        <w:rPr>
          <w:rFonts w:ascii="Calibri" w:hAnsi="Calibri" w:cs="Calibri"/>
        </w:rPr>
        <w:t xml:space="preserve">Finally, </w:t>
      </w:r>
      <w:r w:rsidR="00F56C0F" w:rsidRPr="00F56C0F">
        <w:rPr>
          <w:rFonts w:ascii="Calibri" w:hAnsi="Calibri" w:cs="Calibri"/>
        </w:rPr>
        <w:t xml:space="preserve">from a cost savings perspective, </w:t>
      </w:r>
      <w:r w:rsidR="00010D07">
        <w:rPr>
          <w:rFonts w:ascii="Calibri" w:hAnsi="Calibri" w:cs="Calibri"/>
        </w:rPr>
        <w:t xml:space="preserve">there have been several studies evaluating the cost effectiveness in treating Lumbar Spinal Stenosis with Conservative Care (Physical Therapy, Medications, and Epidural Steroid Injections), vs. Interspinous Spacers (Superion), vs. Decompressive Laminectomy.  It was determined that compared with extending conservative treatment or traditional spinal surgery, </w:t>
      </w:r>
      <w:r w:rsidR="00010D07" w:rsidRPr="00010D07">
        <w:rPr>
          <w:rFonts w:ascii="Calibri" w:hAnsi="Calibri" w:cs="Calibri"/>
          <w:b/>
          <w:bCs/>
        </w:rPr>
        <w:t>interspinous spacers reduce the direct and indirect cost associated with Lumbar Spinal Stenosis</w:t>
      </w:r>
      <w:r w:rsidR="00010D07">
        <w:rPr>
          <w:rFonts w:ascii="Calibri" w:hAnsi="Calibri" w:cs="Calibri"/>
        </w:rPr>
        <w:t xml:space="preserve">. </w:t>
      </w:r>
    </w:p>
    <w:p w14:paraId="71FB4C2B" w14:textId="6710818C" w:rsidR="00DD1B2E" w:rsidRDefault="00DD1B2E" w:rsidP="00DD1B2E">
      <w:pPr>
        <w:spacing w:after="0" w:line="240" w:lineRule="auto"/>
        <w:rPr>
          <w:rFonts w:ascii="Calibri" w:hAnsi="Calibri" w:cs="Calibri"/>
        </w:rPr>
      </w:pPr>
      <w:r>
        <w:t xml:space="preserve">To date, widespread adoption and utilization by the medical community continues with over </w:t>
      </w:r>
      <w:r w:rsidR="00644E43">
        <w:t>30</w:t>
      </w:r>
      <w:r>
        <w:t xml:space="preserve">,000 procedures and over </w:t>
      </w:r>
      <w:r w:rsidR="00644E43">
        <w:t>2,0</w:t>
      </w:r>
      <w:r>
        <w:t xml:space="preserve">00 trained physicians, nationwide. </w:t>
      </w:r>
      <w:r>
        <w:rPr>
          <w:rFonts w:ascii="Calibri" w:hAnsi="Calibri" w:cs="Calibri"/>
        </w:rPr>
        <w:t xml:space="preserve">It is my professional opinion that the insertion of a lumbar interspinous spacer would provide significant clinical and quality of life benefits </w:t>
      </w:r>
    </w:p>
    <w:p w14:paraId="50A5F3E6" w14:textId="77777777" w:rsidR="00DD1B2E" w:rsidRDefault="00DD1B2E" w:rsidP="00DD1B2E">
      <w:pPr>
        <w:spacing w:after="0" w:line="240" w:lineRule="auto"/>
        <w:rPr>
          <w:rFonts w:ascii="Calibri" w:hAnsi="Calibri" w:cs="Calibri"/>
        </w:rPr>
      </w:pPr>
      <w:r>
        <w:rPr>
          <w:rFonts w:ascii="Calibri" w:hAnsi="Calibri" w:cs="Calibri"/>
        </w:rPr>
        <w:t>for my patient.  This treatment is medically necessary and appropriate for this stage of the disease progression.</w:t>
      </w:r>
    </w:p>
    <w:p w14:paraId="098A9626" w14:textId="77777777" w:rsidR="00DD1B2E" w:rsidRDefault="00DD1B2E" w:rsidP="00DD1B2E">
      <w:pPr>
        <w:spacing w:after="0" w:line="240" w:lineRule="auto"/>
        <w:rPr>
          <w:rFonts w:ascii="Calibri" w:hAnsi="Calibri" w:cs="Calibri"/>
        </w:rPr>
      </w:pPr>
    </w:p>
    <w:p w14:paraId="24AEF03F" w14:textId="77777777" w:rsidR="00DD1B2E" w:rsidRDefault="00DD1B2E" w:rsidP="00DD1B2E">
      <w:pPr>
        <w:rPr>
          <w:rFonts w:ascii="Calibri" w:hAnsi="Calibri" w:cs="Calibri"/>
        </w:rPr>
      </w:pPr>
      <w:r>
        <w:rPr>
          <w:rFonts w:ascii="Calibri" w:hAnsi="Calibri" w:cs="Calibri"/>
        </w:rPr>
        <w:t xml:space="preserve">I respectfully request that upon a re-review of the patient’s clinical notes demonstrating medical necessity and the clinical evidence presented, the initial denial be overturned to enable my patient access to treatment. </w:t>
      </w:r>
    </w:p>
    <w:p w14:paraId="66435C74" w14:textId="26ED37F7" w:rsidR="00DD1B2E" w:rsidRDefault="00DD1B2E" w:rsidP="00DD1B2E">
      <w:pPr>
        <w:rPr>
          <w:rFonts w:ascii="Calibri" w:hAnsi="Calibri" w:cs="Calibri"/>
        </w:rPr>
      </w:pPr>
      <w:bookmarkStart w:id="3" w:name="_Hlk15031935"/>
      <w:r>
        <w:rPr>
          <w:rFonts w:ascii="Calibri" w:hAnsi="Calibri" w:cs="Calibri"/>
        </w:rPr>
        <w:t xml:space="preserve">Please contact me directly if you require additional information or if you would like to discuss the specifics of this case.  </w:t>
      </w:r>
      <w:r w:rsidR="00AA2568">
        <w:rPr>
          <w:rFonts w:ascii="Calibri" w:hAnsi="Calibri" w:cs="Calibri"/>
        </w:rPr>
        <w:t xml:space="preserve">I would also be happy to provide you with over 25 clinical papers evaluating this treatment option.  </w:t>
      </w:r>
      <w:r>
        <w:rPr>
          <w:rFonts w:ascii="Calibri" w:hAnsi="Calibri" w:cs="Calibri"/>
        </w:rPr>
        <w:t xml:space="preserve">I can be reached at </w:t>
      </w:r>
      <w:r>
        <w:rPr>
          <w:rFonts w:ascii="Calibri" w:hAnsi="Calibri" w:cs="Calibri"/>
          <w:color w:val="FF0000"/>
        </w:rPr>
        <w:t xml:space="preserve">Phone # </w:t>
      </w:r>
      <w:r>
        <w:rPr>
          <w:rFonts w:ascii="Calibri" w:hAnsi="Calibri" w:cs="Calibri"/>
        </w:rPr>
        <w:t xml:space="preserve">or by email at </w:t>
      </w:r>
      <w:r>
        <w:rPr>
          <w:rFonts w:ascii="Calibri" w:hAnsi="Calibri" w:cs="Calibri"/>
          <w:color w:val="FF0000"/>
        </w:rPr>
        <w:t>E-Mail Address</w:t>
      </w:r>
      <w:r>
        <w:rPr>
          <w:rFonts w:ascii="Calibri" w:hAnsi="Calibri" w:cs="Calibri"/>
        </w:rPr>
        <w:t>.</w:t>
      </w:r>
    </w:p>
    <w:p w14:paraId="413EB77D" w14:textId="77777777" w:rsidR="00DD1B2E" w:rsidRDefault="00DD1B2E" w:rsidP="00DD1B2E">
      <w:pPr>
        <w:spacing w:line="360" w:lineRule="auto"/>
        <w:rPr>
          <w:rFonts w:ascii="Calibri" w:hAnsi="Calibri" w:cs="Calibri"/>
        </w:rPr>
      </w:pPr>
      <w:r>
        <w:rPr>
          <w:rFonts w:ascii="Calibri" w:hAnsi="Calibri" w:cs="Calibri"/>
        </w:rPr>
        <w:t>Thank you in advance for your consideration of this request.</w:t>
      </w:r>
    </w:p>
    <w:p w14:paraId="1E121F16" w14:textId="77777777" w:rsidR="00DD1B2E" w:rsidRDefault="00DD1B2E" w:rsidP="00DD1B2E">
      <w:pPr>
        <w:rPr>
          <w:rFonts w:ascii="Calibri" w:hAnsi="Calibri" w:cs="Calibri"/>
        </w:rPr>
      </w:pPr>
      <w:r>
        <w:rPr>
          <w:rFonts w:ascii="Calibri" w:hAnsi="Calibri" w:cs="Calibri"/>
        </w:rPr>
        <w:t>Sincerely,</w:t>
      </w:r>
    </w:p>
    <w:bookmarkEnd w:id="3"/>
    <w:p w14:paraId="383F5F51" w14:textId="77777777" w:rsidR="00DD1B2E" w:rsidRDefault="00DD1B2E" w:rsidP="00DD1B2E">
      <w:pPr>
        <w:rPr>
          <w:rFonts w:ascii="Calibri" w:hAnsi="Calibri" w:cs="Calibri"/>
        </w:rPr>
      </w:pPr>
    </w:p>
    <w:p w14:paraId="72387579" w14:textId="77777777" w:rsidR="00DD1B2E" w:rsidRDefault="00DD1B2E" w:rsidP="00DD1B2E">
      <w:pPr>
        <w:spacing w:after="0" w:line="240" w:lineRule="auto"/>
        <w:rPr>
          <w:color w:val="FF0000"/>
        </w:rPr>
      </w:pPr>
      <w:bookmarkStart w:id="4" w:name="_Hlk15031733"/>
      <w:r>
        <w:rPr>
          <w:color w:val="FF0000"/>
        </w:rPr>
        <w:t>Physician Signature</w:t>
      </w:r>
    </w:p>
    <w:p w14:paraId="7AFF94FF" w14:textId="77777777" w:rsidR="00DD1B2E" w:rsidRDefault="00DD1B2E" w:rsidP="00DD1B2E">
      <w:pPr>
        <w:spacing w:after="0" w:line="240" w:lineRule="auto"/>
        <w:rPr>
          <w:rFonts w:ascii="Calibri" w:hAnsi="Calibri" w:cs="Calibri"/>
          <w:color w:val="FF0000"/>
        </w:rPr>
      </w:pPr>
      <w:r>
        <w:rPr>
          <w:rFonts w:ascii="Calibri" w:hAnsi="Calibri" w:cs="Calibri"/>
          <w:color w:val="FF0000"/>
        </w:rPr>
        <w:lastRenderedPageBreak/>
        <w:t>Physician Name</w:t>
      </w:r>
    </w:p>
    <w:p w14:paraId="3A03E629" w14:textId="77777777" w:rsidR="00DD1B2E" w:rsidRDefault="00DD1B2E" w:rsidP="00DD1B2E">
      <w:pPr>
        <w:spacing w:after="0" w:line="240" w:lineRule="auto"/>
        <w:rPr>
          <w:rFonts w:ascii="Calibri" w:hAnsi="Calibri" w:cs="Calibri"/>
          <w:color w:val="FF0000"/>
        </w:rPr>
      </w:pPr>
      <w:r>
        <w:rPr>
          <w:rFonts w:ascii="Calibri" w:hAnsi="Calibri" w:cs="Calibri"/>
          <w:color w:val="FF0000"/>
        </w:rPr>
        <w:t>Facility Name</w:t>
      </w:r>
    </w:p>
    <w:p w14:paraId="42A17F8C" w14:textId="77777777" w:rsidR="00DD1B2E" w:rsidRDefault="00DD1B2E" w:rsidP="00DD1B2E">
      <w:pPr>
        <w:spacing w:after="0" w:line="240" w:lineRule="auto"/>
        <w:rPr>
          <w:rFonts w:ascii="Calibri" w:hAnsi="Calibri" w:cs="Calibri"/>
          <w:color w:val="FF0000"/>
        </w:rPr>
      </w:pPr>
      <w:r>
        <w:rPr>
          <w:rFonts w:ascii="Calibri" w:hAnsi="Calibri" w:cs="Calibri"/>
          <w:color w:val="FF0000"/>
        </w:rPr>
        <w:t>Full Address</w:t>
      </w:r>
    </w:p>
    <w:p w14:paraId="48A6F0BB" w14:textId="77777777" w:rsidR="00DD1B2E" w:rsidRDefault="00DD1B2E" w:rsidP="00DD1B2E">
      <w:pPr>
        <w:spacing w:after="0" w:line="240" w:lineRule="auto"/>
        <w:rPr>
          <w:rFonts w:ascii="Calibri" w:hAnsi="Calibri" w:cs="Calibri"/>
          <w:color w:val="FF0000"/>
        </w:rPr>
      </w:pPr>
      <w:r>
        <w:rPr>
          <w:rFonts w:ascii="Calibri" w:hAnsi="Calibri" w:cs="Calibri"/>
          <w:color w:val="FF0000"/>
        </w:rPr>
        <w:t>Phone</w:t>
      </w:r>
      <w:bookmarkEnd w:id="4"/>
    </w:p>
    <w:p w14:paraId="476E0BBA" w14:textId="77777777" w:rsidR="00DD1B2E" w:rsidRDefault="00DD1B2E" w:rsidP="00DD1B2E">
      <w:pPr>
        <w:spacing w:after="0" w:line="240" w:lineRule="auto"/>
        <w:rPr>
          <w:rFonts w:ascii="Calibri" w:hAnsi="Calibri" w:cs="Calibri"/>
          <w:color w:val="FF0000"/>
        </w:rPr>
      </w:pPr>
    </w:p>
    <w:p w14:paraId="0BC3E584" w14:textId="77777777" w:rsidR="0021311C" w:rsidRDefault="0021311C" w:rsidP="00DD1B2E">
      <w:pPr>
        <w:rPr>
          <w:sz w:val="20"/>
          <w:szCs w:val="20"/>
        </w:rPr>
      </w:pPr>
    </w:p>
    <w:p w14:paraId="0CC3C73E" w14:textId="6E674B62" w:rsidR="00DD1B2E" w:rsidRDefault="00DD1B2E" w:rsidP="00DD1B2E">
      <w:pPr>
        <w:rPr>
          <w:b/>
          <w:sz w:val="20"/>
          <w:szCs w:val="20"/>
        </w:rPr>
      </w:pPr>
      <w:r>
        <w:rPr>
          <w:b/>
          <w:sz w:val="20"/>
          <w:szCs w:val="20"/>
        </w:rPr>
        <w:t>REFERENCES</w:t>
      </w:r>
    </w:p>
    <w:p w14:paraId="4DBF4F84" w14:textId="77777777" w:rsidR="00DD1B2E" w:rsidRDefault="00DD1B2E" w:rsidP="00DD1B2E">
      <w:pPr>
        <w:pStyle w:val="EndnoteText"/>
        <w:rPr>
          <w:i/>
          <w:iCs/>
        </w:rPr>
      </w:pPr>
      <w:r>
        <w:t xml:space="preserve">Centers for Disease Control and Prevention. </w:t>
      </w:r>
      <w:hyperlink r:id="rId5" w:history="1">
        <w:r>
          <w:rPr>
            <w:rStyle w:val="Hyperlink"/>
            <w:i/>
            <w:iCs/>
          </w:rPr>
          <w:t>2018 Annual Surveillance Report of Drug-Related Risks and Outcomes - United States.</w:t>
        </w:r>
      </w:hyperlink>
      <w:r>
        <w:rPr>
          <w:i/>
          <w:iCs/>
        </w:rPr>
        <w:t xml:space="preserve"> Centers for Disease Control and Prevention, U.S. Department of Health and Human Services. Published August 31, 2018.</w:t>
      </w:r>
    </w:p>
    <w:p w14:paraId="3F5A6B6C" w14:textId="77777777" w:rsidR="00DD1B2E" w:rsidRDefault="00DD1B2E" w:rsidP="00DD1B2E">
      <w:pPr>
        <w:pStyle w:val="EndnoteText"/>
        <w:rPr>
          <w:i/>
          <w:iCs/>
        </w:rPr>
      </w:pPr>
    </w:p>
    <w:p w14:paraId="0AD7DA5D" w14:textId="77777777" w:rsidR="00DD1B2E" w:rsidRDefault="00DD1B2E" w:rsidP="00DD1B2E">
      <w:pPr>
        <w:pStyle w:val="EndnoteText"/>
      </w:pPr>
      <w:bookmarkStart w:id="5" w:name="_Hlk50673950"/>
      <w:r>
        <w:t xml:space="preserve">FDA, </w:t>
      </w:r>
      <w:r>
        <w:rPr>
          <w:i/>
        </w:rPr>
        <w:t>Premarket Approval P140004.</w:t>
      </w:r>
      <w:r>
        <w:t xml:space="preserve"> 2015.</w:t>
      </w:r>
      <w:bookmarkStart w:id="6" w:name="_Hlk50641050"/>
    </w:p>
    <w:p w14:paraId="15E0EA3E" w14:textId="77777777" w:rsidR="00DD1B2E" w:rsidRDefault="00DD1B2E" w:rsidP="00DD1B2E">
      <w:pPr>
        <w:pStyle w:val="EndnoteText"/>
      </w:pPr>
    </w:p>
    <w:p w14:paraId="708718CC" w14:textId="77777777" w:rsidR="00DD1B2E" w:rsidRDefault="00DD1B2E" w:rsidP="00DD1B2E">
      <w:pPr>
        <w:autoSpaceDE w:val="0"/>
        <w:autoSpaceDN w:val="0"/>
        <w:adjustRightInd w:val="0"/>
        <w:spacing w:after="0" w:line="240" w:lineRule="auto"/>
        <w:rPr>
          <w:rFonts w:cstheme="minorHAnsi"/>
          <w:i/>
          <w:iCs/>
          <w:sz w:val="20"/>
          <w:szCs w:val="20"/>
        </w:rPr>
      </w:pPr>
      <w:r>
        <w:rPr>
          <w:rFonts w:cstheme="minorHAnsi"/>
          <w:sz w:val="20"/>
          <w:szCs w:val="20"/>
        </w:rPr>
        <w:t>Hartman J, Granville M, Jacobson R E (August 12, 2019).</w:t>
      </w:r>
      <w:r>
        <w:rPr>
          <w:rFonts w:cstheme="minorHAnsi"/>
          <w:i/>
          <w:iCs/>
          <w:sz w:val="20"/>
          <w:szCs w:val="20"/>
        </w:rPr>
        <w:t xml:space="preserve"> The Use of Vertiflex® Interspinous Spacer</w:t>
      </w:r>
    </w:p>
    <w:p w14:paraId="09CF46DE" w14:textId="77777777" w:rsidR="00DD1B2E" w:rsidRDefault="00DD1B2E" w:rsidP="00DD1B2E">
      <w:pPr>
        <w:autoSpaceDE w:val="0"/>
        <w:autoSpaceDN w:val="0"/>
        <w:adjustRightInd w:val="0"/>
        <w:spacing w:after="0" w:line="240" w:lineRule="auto"/>
        <w:rPr>
          <w:rFonts w:cstheme="minorHAnsi"/>
          <w:i/>
          <w:iCs/>
          <w:sz w:val="20"/>
          <w:szCs w:val="20"/>
        </w:rPr>
      </w:pPr>
      <w:r>
        <w:rPr>
          <w:rFonts w:cstheme="minorHAnsi"/>
          <w:i/>
          <w:iCs/>
          <w:sz w:val="20"/>
          <w:szCs w:val="20"/>
        </w:rPr>
        <w:t xml:space="preserve">Device in Patients </w:t>
      </w:r>
      <w:proofErr w:type="gramStart"/>
      <w:r>
        <w:rPr>
          <w:rFonts w:cstheme="minorHAnsi"/>
          <w:i/>
          <w:iCs/>
          <w:sz w:val="20"/>
          <w:szCs w:val="20"/>
        </w:rPr>
        <w:t>With</w:t>
      </w:r>
      <w:proofErr w:type="gramEnd"/>
      <w:r>
        <w:rPr>
          <w:rFonts w:cstheme="minorHAnsi"/>
          <w:i/>
          <w:iCs/>
          <w:sz w:val="20"/>
          <w:szCs w:val="20"/>
        </w:rPr>
        <w:t xml:space="preserve"> Lumbar Spinal Stenosis and Concurrent Medical Comorbidities. </w:t>
      </w:r>
      <w:proofErr w:type="spellStart"/>
      <w:r>
        <w:rPr>
          <w:rFonts w:cstheme="minorHAnsi"/>
          <w:i/>
          <w:iCs/>
          <w:sz w:val="20"/>
          <w:szCs w:val="20"/>
        </w:rPr>
        <w:t>Cureus</w:t>
      </w:r>
      <w:proofErr w:type="spellEnd"/>
      <w:r>
        <w:rPr>
          <w:rFonts w:cstheme="minorHAnsi"/>
          <w:i/>
          <w:iCs/>
          <w:sz w:val="20"/>
          <w:szCs w:val="20"/>
        </w:rPr>
        <w:t xml:space="preserve"> 11(8):</w:t>
      </w:r>
    </w:p>
    <w:p w14:paraId="6FDE76C1" w14:textId="77777777" w:rsidR="00DD1B2E" w:rsidRDefault="00DD1B2E" w:rsidP="00DD1B2E">
      <w:pPr>
        <w:pStyle w:val="EndnoteText"/>
        <w:rPr>
          <w:rFonts w:cstheme="minorHAnsi"/>
        </w:rPr>
      </w:pPr>
      <w:r>
        <w:rPr>
          <w:rFonts w:cstheme="minorHAnsi"/>
          <w:i/>
          <w:iCs/>
        </w:rPr>
        <w:t xml:space="preserve">e5374. DOI 10.7759/cureus.5374. </w:t>
      </w:r>
      <w:bookmarkEnd w:id="6"/>
      <w:r>
        <w:fldChar w:fldCharType="begin"/>
      </w:r>
      <w:r>
        <w:instrText xml:space="preserve"> HYPERLINK "https://pubmed.ncbi.nlm.nih.gov/31616607/" </w:instrText>
      </w:r>
      <w:r>
        <w:fldChar w:fldCharType="separate"/>
      </w:r>
      <w:r>
        <w:rPr>
          <w:rStyle w:val="Hyperlink"/>
          <w:rFonts w:cstheme="minorHAnsi"/>
        </w:rPr>
        <w:t>https://pubmed.ncbi.nlm.nih.gov/31616607/</w:t>
      </w:r>
      <w:r>
        <w:fldChar w:fldCharType="end"/>
      </w:r>
    </w:p>
    <w:p w14:paraId="447ECE96" w14:textId="77777777" w:rsidR="00DD1B2E" w:rsidRDefault="00DD1B2E" w:rsidP="00DD1B2E">
      <w:pPr>
        <w:pStyle w:val="EndnoteText"/>
      </w:pPr>
    </w:p>
    <w:p w14:paraId="4FC82FBA" w14:textId="77777777" w:rsidR="00DD1B2E" w:rsidRDefault="00DD1B2E" w:rsidP="00DD1B2E">
      <w:pPr>
        <w:pStyle w:val="EndnoteText"/>
        <w:rPr>
          <w:rStyle w:val="Hyperlink"/>
        </w:rPr>
      </w:pPr>
      <w:r>
        <w:t xml:space="preserve">Nunley, P.D., et al., </w:t>
      </w:r>
      <w:r>
        <w:rPr>
          <w:i/>
        </w:rPr>
        <w:t>Superion Interspinous Spacer Treatment of Moderate Spinal Stenosis: 4-Year Results.</w:t>
      </w:r>
      <w:r>
        <w:t xml:space="preserve"> World </w:t>
      </w:r>
      <w:proofErr w:type="spellStart"/>
      <w:r>
        <w:t>Neurosurg</w:t>
      </w:r>
      <w:proofErr w:type="spellEnd"/>
      <w:r>
        <w:t xml:space="preserve">, 2017. 104: p. 279-283.  </w:t>
      </w:r>
      <w:hyperlink r:id="rId6" w:history="1">
        <w:r>
          <w:rPr>
            <w:rStyle w:val="Hyperlink"/>
          </w:rPr>
          <w:t>https://www.ncbi.nlm.nih.gov/m/pubmed/28479526/</w:t>
        </w:r>
      </w:hyperlink>
    </w:p>
    <w:p w14:paraId="4DDBC73D" w14:textId="77777777" w:rsidR="00DD1B2E" w:rsidRDefault="00DD1B2E" w:rsidP="00DD1B2E">
      <w:pPr>
        <w:pStyle w:val="EndnoteText"/>
      </w:pPr>
    </w:p>
    <w:p w14:paraId="037752BE" w14:textId="77777777" w:rsidR="00DD1B2E" w:rsidRDefault="00DD1B2E" w:rsidP="00DD1B2E">
      <w:pPr>
        <w:pStyle w:val="EndnoteText"/>
        <w:rPr>
          <w:rStyle w:val="Hyperlink"/>
        </w:rPr>
      </w:pPr>
      <w:r>
        <w:t xml:space="preserve">Nunley, P.D., et al., </w:t>
      </w:r>
      <w:r>
        <w:rPr>
          <w:i/>
        </w:rPr>
        <w:t>Five-year durability of stand-alone interspinous process decompression for lumbar spinal stenosis.</w:t>
      </w:r>
      <w:r>
        <w:t xml:space="preserve"> Clin </w:t>
      </w:r>
      <w:proofErr w:type="spellStart"/>
      <w:r>
        <w:t>Interv</w:t>
      </w:r>
      <w:proofErr w:type="spellEnd"/>
      <w:r>
        <w:t xml:space="preserve"> Aging, 2017. 12: p. 1409-1417.  </w:t>
      </w:r>
      <w:hyperlink r:id="rId7" w:history="1">
        <w:r>
          <w:rPr>
            <w:rStyle w:val="Hyperlink"/>
          </w:rPr>
          <w:t>https://www.ncbi.nlm.nih.gov/m/pubmed/28919727/</w:t>
        </w:r>
      </w:hyperlink>
    </w:p>
    <w:bookmarkEnd w:id="5"/>
    <w:p w14:paraId="13AE05DD" w14:textId="77777777" w:rsidR="00DD1B2E" w:rsidRDefault="00DD1B2E" w:rsidP="00DD1B2E">
      <w:pPr>
        <w:pStyle w:val="EndnoteText"/>
      </w:pPr>
    </w:p>
    <w:p w14:paraId="1623A3AA" w14:textId="77777777" w:rsidR="00DD1B2E" w:rsidRDefault="00DD1B2E" w:rsidP="00DD1B2E">
      <w:pPr>
        <w:pStyle w:val="EndnoteText"/>
      </w:pPr>
      <w:r>
        <w:t xml:space="preserve">Nunley, P.D., et al., </w:t>
      </w:r>
      <w:r>
        <w:rPr>
          <w:i/>
          <w:iCs/>
        </w:rPr>
        <w:t>Interspinous process decompression is associated with a reduction in opioid analgesia in patients with lumbar spinal stenosis.</w:t>
      </w:r>
      <w:r>
        <w:t xml:space="preserve">  Journal of Pain Research, 2018. 11:2943-2948.  </w:t>
      </w:r>
    </w:p>
    <w:p w14:paraId="704A62F5" w14:textId="77777777" w:rsidR="00DD1B2E" w:rsidRDefault="00EA6276" w:rsidP="00DD1B2E">
      <w:pPr>
        <w:pStyle w:val="EndnoteText"/>
      </w:pPr>
      <w:hyperlink r:id="rId8" w:history="1">
        <w:r w:rsidR="00DD1B2E">
          <w:rPr>
            <w:rStyle w:val="Hyperlink"/>
          </w:rPr>
          <w:t>https://www.ncbi.nlm.nih.gov/pubmed/30538533/</w:t>
        </w:r>
      </w:hyperlink>
      <w:r w:rsidR="00DD1B2E">
        <w:t xml:space="preserve"> </w:t>
      </w:r>
    </w:p>
    <w:p w14:paraId="70C345AA" w14:textId="77777777" w:rsidR="00DD1B2E" w:rsidRDefault="00DD1B2E" w:rsidP="00DD1B2E">
      <w:pPr>
        <w:pStyle w:val="EndnoteText"/>
      </w:pPr>
    </w:p>
    <w:p w14:paraId="0E5483EC" w14:textId="77777777" w:rsidR="00DD1B2E" w:rsidRDefault="00DD1B2E" w:rsidP="00DD1B2E">
      <w:pPr>
        <w:tabs>
          <w:tab w:val="left" w:pos="654"/>
        </w:tabs>
        <w:spacing w:after="0" w:line="240" w:lineRule="auto"/>
        <w:ind w:right="581"/>
        <w:contextualSpacing/>
        <w:rPr>
          <w:rFonts w:eastAsia="Times New Roman" w:cstheme="minorHAnsi"/>
          <w:sz w:val="20"/>
          <w:szCs w:val="20"/>
          <w:lang w:bidi="en-US"/>
        </w:rPr>
      </w:pPr>
      <w:proofErr w:type="spellStart"/>
      <w:r>
        <w:rPr>
          <w:rFonts w:cstheme="minorHAnsi"/>
          <w:sz w:val="20"/>
          <w:szCs w:val="20"/>
          <w:lang w:bidi="en-US"/>
        </w:rPr>
        <w:t>Tekmyster</w:t>
      </w:r>
      <w:proofErr w:type="spellEnd"/>
      <w:r>
        <w:rPr>
          <w:rFonts w:cstheme="minorHAnsi"/>
          <w:sz w:val="20"/>
          <w:szCs w:val="20"/>
          <w:lang w:bidi="en-US"/>
        </w:rPr>
        <w:t xml:space="preserve"> G et al</w:t>
      </w:r>
      <w:r>
        <w:rPr>
          <w:rFonts w:cstheme="minorHAnsi"/>
          <w:i/>
          <w:iCs/>
          <w:sz w:val="20"/>
          <w:szCs w:val="20"/>
          <w:lang w:bidi="en-US"/>
        </w:rPr>
        <w:t xml:space="preserve">., Interspinous Process Decompression </w:t>
      </w:r>
      <w:proofErr w:type="gramStart"/>
      <w:r>
        <w:rPr>
          <w:rFonts w:cstheme="minorHAnsi"/>
          <w:i/>
          <w:iCs/>
          <w:sz w:val="20"/>
          <w:szCs w:val="20"/>
          <w:lang w:bidi="en-US"/>
        </w:rPr>
        <w:t>With</w:t>
      </w:r>
      <w:proofErr w:type="gramEnd"/>
      <w:r>
        <w:rPr>
          <w:rFonts w:cstheme="minorHAnsi"/>
          <w:i/>
          <w:iCs/>
          <w:sz w:val="20"/>
          <w:szCs w:val="20"/>
          <w:lang w:bidi="en-US"/>
        </w:rPr>
        <w:t xml:space="preserve"> The Superion® Spacer For Lumbar Spinal Stenosis: Real-World Experience From a Device Registry.</w:t>
      </w:r>
      <w:r>
        <w:rPr>
          <w:rFonts w:cstheme="minorHAnsi"/>
          <w:sz w:val="20"/>
          <w:szCs w:val="20"/>
          <w:lang w:bidi="en-US"/>
        </w:rPr>
        <w:t xml:space="preserve"> Medical Devices: Evidence and Research </w:t>
      </w:r>
      <w:proofErr w:type="gramStart"/>
      <w:r>
        <w:rPr>
          <w:rFonts w:cstheme="minorHAnsi"/>
          <w:sz w:val="20"/>
          <w:szCs w:val="20"/>
          <w:lang w:bidi="en-US"/>
        </w:rPr>
        <w:t>2019;12:423</w:t>
      </w:r>
      <w:proofErr w:type="gramEnd"/>
      <w:r>
        <w:rPr>
          <w:rFonts w:cstheme="minorHAnsi"/>
          <w:sz w:val="20"/>
          <w:szCs w:val="20"/>
          <w:lang w:bidi="en-US"/>
        </w:rPr>
        <w:t xml:space="preserve">-427                                 </w:t>
      </w:r>
      <w:r>
        <w:rPr>
          <w:rFonts w:eastAsia="Times New Roman" w:cstheme="minorHAnsi"/>
          <w:sz w:val="20"/>
          <w:szCs w:val="20"/>
          <w:lang w:bidi="en-US"/>
        </w:rPr>
        <w:t xml:space="preserve">                                                                                                      </w:t>
      </w:r>
    </w:p>
    <w:p w14:paraId="28485812" w14:textId="77777777" w:rsidR="00010D07" w:rsidRDefault="00010D07" w:rsidP="00DD1B2E">
      <w:pPr>
        <w:rPr>
          <w:rFonts w:eastAsia="Times New Roman" w:cstheme="minorHAnsi"/>
          <w:sz w:val="20"/>
          <w:szCs w:val="20"/>
          <w:lang w:bidi="en-US"/>
        </w:rPr>
      </w:pPr>
    </w:p>
    <w:p w14:paraId="268600C7" w14:textId="77777777" w:rsidR="00B13999" w:rsidRDefault="00010D07" w:rsidP="00DD1B2E">
      <w:pPr>
        <w:rPr>
          <w:rFonts w:eastAsia="Times New Roman" w:cstheme="minorHAnsi"/>
          <w:sz w:val="20"/>
          <w:szCs w:val="20"/>
          <w:lang w:bidi="en-US"/>
        </w:rPr>
      </w:pPr>
      <w:r>
        <w:rPr>
          <w:rFonts w:eastAsia="Times New Roman" w:cstheme="minorHAnsi"/>
          <w:sz w:val="20"/>
          <w:szCs w:val="20"/>
          <w:lang w:bidi="en-US"/>
        </w:rPr>
        <w:t>Parker S</w:t>
      </w:r>
      <w:r w:rsidR="00B13999">
        <w:rPr>
          <w:rFonts w:eastAsia="Times New Roman" w:cstheme="minorHAnsi"/>
          <w:sz w:val="20"/>
          <w:szCs w:val="20"/>
          <w:lang w:bidi="en-US"/>
        </w:rPr>
        <w:t xml:space="preserve">. et al.  </w:t>
      </w:r>
      <w:r w:rsidR="00B13999" w:rsidRPr="00B13999">
        <w:rPr>
          <w:rFonts w:eastAsia="Times New Roman" w:cstheme="minorHAnsi"/>
          <w:i/>
          <w:iCs/>
          <w:sz w:val="20"/>
          <w:szCs w:val="20"/>
          <w:lang w:bidi="en-US"/>
        </w:rPr>
        <w:t>Cost-effectiveness of three treatment strategies for lumbar spinal stenosis: Conservative care, laminectomy, and the Superion interspinous spacer</w:t>
      </w:r>
      <w:r w:rsidR="00B13999">
        <w:rPr>
          <w:rFonts w:eastAsia="Times New Roman" w:cstheme="minorHAnsi"/>
          <w:sz w:val="20"/>
          <w:szCs w:val="20"/>
          <w:lang w:bidi="en-US"/>
        </w:rPr>
        <w:t>. International Journal of Spine Surgery, July 2015. DOI:10.14444/2028.</w:t>
      </w:r>
      <w:r w:rsidR="00DD1B2E">
        <w:rPr>
          <w:rFonts w:eastAsia="Times New Roman" w:cstheme="minorHAnsi"/>
          <w:sz w:val="20"/>
          <w:szCs w:val="20"/>
          <w:lang w:bidi="en-US"/>
        </w:rPr>
        <w:t xml:space="preserve">      </w:t>
      </w:r>
    </w:p>
    <w:p w14:paraId="4783FED1" w14:textId="5F9C62B3" w:rsidR="006F3906" w:rsidRDefault="00B13999" w:rsidP="00DD1B2E">
      <w:r>
        <w:rPr>
          <w:rFonts w:eastAsia="Times New Roman" w:cstheme="minorHAnsi"/>
          <w:sz w:val="20"/>
          <w:szCs w:val="20"/>
          <w:lang w:bidi="en-US"/>
        </w:rPr>
        <w:t xml:space="preserve">Cairns, K. et al.  </w:t>
      </w:r>
      <w:r w:rsidRPr="00B13999">
        <w:rPr>
          <w:rFonts w:eastAsia="Times New Roman" w:cstheme="minorHAnsi"/>
          <w:i/>
          <w:iCs/>
          <w:sz w:val="20"/>
          <w:szCs w:val="20"/>
          <w:lang w:bidi="en-US"/>
        </w:rPr>
        <w:t xml:space="preserve">Cost-effectiveness and safety of interspinous process decompression </w:t>
      </w:r>
      <w:proofErr w:type="gramStart"/>
      <w:r w:rsidRPr="00B13999">
        <w:rPr>
          <w:rFonts w:eastAsia="Times New Roman" w:cstheme="minorHAnsi"/>
          <w:i/>
          <w:iCs/>
          <w:sz w:val="20"/>
          <w:szCs w:val="20"/>
          <w:lang w:bidi="en-US"/>
        </w:rPr>
        <w:t>( Superion</w:t>
      </w:r>
      <w:proofErr w:type="gramEnd"/>
      <w:r w:rsidRPr="00B13999">
        <w:rPr>
          <w:rFonts w:eastAsia="Times New Roman" w:cstheme="minorHAnsi"/>
          <w:i/>
          <w:iCs/>
          <w:sz w:val="20"/>
          <w:szCs w:val="20"/>
          <w:lang w:bidi="en-US"/>
        </w:rPr>
        <w:t>).</w:t>
      </w:r>
      <w:r>
        <w:rPr>
          <w:rFonts w:eastAsia="Times New Roman" w:cstheme="minorHAnsi"/>
          <w:sz w:val="20"/>
          <w:szCs w:val="20"/>
          <w:lang w:bidi="en-US"/>
        </w:rPr>
        <w:t xml:space="preserve">  Pain Medicine, 20(S2), 2019, S2-S8.  </w:t>
      </w:r>
      <w:r w:rsidR="00DD1B2E">
        <w:rPr>
          <w:rFonts w:eastAsia="Times New Roman" w:cstheme="minorHAnsi"/>
          <w:sz w:val="20"/>
          <w:szCs w:val="20"/>
          <w:lang w:bidi="en-US"/>
        </w:rPr>
        <w:t xml:space="preserve">                                                                                                                             </w:t>
      </w:r>
      <w:r w:rsidR="00DD1B2E">
        <w:rPr>
          <w:rFonts w:eastAsia="Times New Roman" w:cstheme="minorHAnsi"/>
          <w:sz w:val="20"/>
          <w:szCs w:val="20"/>
          <w:lang w:bidi="en-US"/>
        </w:rPr>
        <w:tab/>
      </w:r>
      <w:r w:rsidR="00DD1B2E">
        <w:rPr>
          <w:rFonts w:eastAsia="Times New Roman" w:cstheme="minorHAnsi"/>
          <w:sz w:val="20"/>
          <w:szCs w:val="20"/>
          <w:lang w:bidi="en-US"/>
        </w:rPr>
        <w:tab/>
      </w:r>
      <w:r w:rsidR="00DD1B2E">
        <w:rPr>
          <w:rFonts w:eastAsia="Times New Roman" w:cstheme="minorHAnsi"/>
          <w:sz w:val="20"/>
          <w:szCs w:val="20"/>
          <w:lang w:bidi="en-US"/>
        </w:rPr>
        <w:tab/>
      </w:r>
      <w:r w:rsidR="00DD1B2E">
        <w:rPr>
          <w:rFonts w:eastAsia="Times New Roman" w:cstheme="minorHAnsi"/>
          <w:sz w:val="20"/>
          <w:szCs w:val="20"/>
          <w:lang w:bidi="en-US"/>
        </w:rPr>
        <w:tab/>
      </w:r>
      <w:r w:rsidR="00DD1B2E">
        <w:rPr>
          <w:rFonts w:eastAsia="Times New Roman" w:cstheme="minorHAnsi"/>
          <w:sz w:val="20"/>
          <w:szCs w:val="20"/>
          <w:lang w:bidi="en-US"/>
        </w:rPr>
        <w:tab/>
      </w:r>
      <w:r w:rsidR="00DD1B2E">
        <w:rPr>
          <w:rFonts w:eastAsia="Times New Roman" w:cstheme="minorHAnsi"/>
          <w:sz w:val="20"/>
          <w:szCs w:val="20"/>
          <w:lang w:bidi="en-US"/>
        </w:rPr>
        <w:tab/>
      </w:r>
      <w:r w:rsidR="00DD1B2E">
        <w:rPr>
          <w:rFonts w:eastAsia="Times New Roman" w:cstheme="minorHAnsi"/>
          <w:sz w:val="20"/>
          <w:szCs w:val="20"/>
          <w:lang w:bidi="en-US"/>
        </w:rPr>
        <w:tab/>
      </w:r>
      <w:r w:rsidR="00DD1B2E">
        <w:rPr>
          <w:rFonts w:eastAsia="Times New Roman" w:cstheme="minorHAnsi"/>
          <w:sz w:val="20"/>
          <w:szCs w:val="20"/>
          <w:lang w:bidi="en-US"/>
        </w:rPr>
        <w:tab/>
      </w:r>
      <w:r w:rsidR="00DD1B2E">
        <w:rPr>
          <w:rFonts w:eastAsia="Times New Roman" w:cstheme="minorHAnsi"/>
          <w:sz w:val="20"/>
          <w:szCs w:val="20"/>
          <w:lang w:bidi="en-US"/>
        </w:rPr>
        <w:tab/>
      </w:r>
      <w:r w:rsidR="00DD1B2E">
        <w:rPr>
          <w:rFonts w:eastAsia="Times New Roman" w:cstheme="minorHAnsi"/>
          <w:sz w:val="20"/>
          <w:szCs w:val="20"/>
          <w:lang w:bidi="en-US"/>
        </w:rPr>
        <w:tab/>
      </w:r>
      <w:r w:rsidR="00DD1B2E">
        <w:rPr>
          <w:rFonts w:eastAsia="Times New Roman" w:cstheme="minorHAnsi"/>
          <w:sz w:val="20"/>
          <w:szCs w:val="20"/>
          <w:lang w:bidi="en-US"/>
        </w:rPr>
        <w:tab/>
      </w:r>
      <w:r w:rsidR="00DD1B2E">
        <w:rPr>
          <w:rFonts w:eastAsia="Times New Roman" w:cstheme="minorHAnsi"/>
          <w:sz w:val="20"/>
          <w:szCs w:val="20"/>
          <w:lang w:bidi="en-US"/>
        </w:rPr>
        <w:tab/>
      </w:r>
    </w:p>
    <w:sectPr w:rsidR="006F39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711C41"/>
    <w:multiLevelType w:val="hybridMultilevel"/>
    <w:tmpl w:val="492ED1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AFB3549"/>
    <w:multiLevelType w:val="hybridMultilevel"/>
    <w:tmpl w:val="041A93D4"/>
    <w:lvl w:ilvl="0" w:tplc="04090001">
      <w:start w:val="1"/>
      <w:numFmt w:val="bullet"/>
      <w:lvlText w:val=""/>
      <w:lvlJc w:val="left"/>
      <w:pPr>
        <w:ind w:left="720" w:hanging="360"/>
      </w:pPr>
      <w:rPr>
        <w:rFonts w:ascii="Symbol" w:hAnsi="Symbol" w:hint="default"/>
      </w:rPr>
    </w:lvl>
    <w:lvl w:ilvl="1" w:tplc="D7C089A0">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B2E"/>
    <w:rsid w:val="00010D07"/>
    <w:rsid w:val="0015072E"/>
    <w:rsid w:val="0021311C"/>
    <w:rsid w:val="002B2B8F"/>
    <w:rsid w:val="00402AAA"/>
    <w:rsid w:val="00644E43"/>
    <w:rsid w:val="00A27A48"/>
    <w:rsid w:val="00AA2568"/>
    <w:rsid w:val="00B13999"/>
    <w:rsid w:val="00BC0D43"/>
    <w:rsid w:val="00C13C8B"/>
    <w:rsid w:val="00DC3BB5"/>
    <w:rsid w:val="00DD1B2E"/>
    <w:rsid w:val="00EA6276"/>
    <w:rsid w:val="00F56C0F"/>
    <w:rsid w:val="00F56E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4C8CC"/>
  <w15:chartTrackingRefBased/>
  <w15:docId w15:val="{E094EDA4-348A-47D4-B1ED-77B133E19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1B2E"/>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D1B2E"/>
    <w:rPr>
      <w:color w:val="0563C1" w:themeColor="hyperlink"/>
      <w:u w:val="single"/>
    </w:rPr>
  </w:style>
  <w:style w:type="paragraph" w:styleId="EndnoteText">
    <w:name w:val="endnote text"/>
    <w:basedOn w:val="Normal"/>
    <w:link w:val="EndnoteTextChar"/>
    <w:uiPriority w:val="99"/>
    <w:semiHidden/>
    <w:unhideWhenUsed/>
    <w:rsid w:val="00DD1B2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D1B2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1511652">
      <w:bodyDiv w:val="1"/>
      <w:marLeft w:val="0"/>
      <w:marRight w:val="0"/>
      <w:marTop w:val="0"/>
      <w:marBottom w:val="0"/>
      <w:divBdr>
        <w:top w:val="none" w:sz="0" w:space="0" w:color="auto"/>
        <w:left w:val="none" w:sz="0" w:space="0" w:color="auto"/>
        <w:bottom w:val="none" w:sz="0" w:space="0" w:color="auto"/>
        <w:right w:val="none" w:sz="0" w:space="0" w:color="auto"/>
      </w:divBdr>
    </w:div>
    <w:div w:id="1005672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30538533/" TargetMode="External"/><Relationship Id="rId3" Type="http://schemas.openxmlformats.org/officeDocument/2006/relationships/settings" Target="settings.xml"/><Relationship Id="rId7" Type="http://schemas.openxmlformats.org/officeDocument/2006/relationships/hyperlink" Target="https://www.ncbi.nlm.nih.gov/m/pubmed/2891972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m/pubmed/28479526/" TargetMode="External"/><Relationship Id="rId5" Type="http://schemas.openxmlformats.org/officeDocument/2006/relationships/hyperlink" Target="https://www.cdc.gov/drugoverdose/pdf/pubs/2018-cdc-drug-surveillance-report.pdf?s_cid=cs_828"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3079</TotalTime>
  <Pages>4</Pages>
  <Words>1701</Words>
  <Characters>9696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Thomas</dc:creator>
  <cp:keywords/>
  <dc:description/>
  <cp:lastModifiedBy>Kelly, Thomas</cp:lastModifiedBy>
  <cp:revision>5</cp:revision>
  <dcterms:created xsi:type="dcterms:W3CDTF">2021-04-19T13:41:00Z</dcterms:created>
  <dcterms:modified xsi:type="dcterms:W3CDTF">2021-07-11T16:50:00Z</dcterms:modified>
</cp:coreProperties>
</file>