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5F31" w14:textId="27B131DC" w:rsidR="0099250B" w:rsidRDefault="0099250B"/>
    <w:p w14:paraId="53D28090" w14:textId="4D9B04A1" w:rsidR="0099250B" w:rsidRDefault="0099250B"/>
    <w:p w14:paraId="4F0D790B" w14:textId="50026489" w:rsidR="0099250B" w:rsidRDefault="0099250B">
      <w:pPr>
        <w:rPr>
          <w:b/>
          <w:bCs/>
        </w:rPr>
      </w:pPr>
      <w:r>
        <w:rPr>
          <w:b/>
          <w:bCs/>
        </w:rPr>
        <w:t>DATE:</w:t>
      </w:r>
    </w:p>
    <w:p w14:paraId="06D7BE4E" w14:textId="71B8994D" w:rsidR="0099250B" w:rsidRDefault="0099250B">
      <w:pPr>
        <w:rPr>
          <w:b/>
          <w:bCs/>
        </w:rPr>
      </w:pPr>
    </w:p>
    <w:p w14:paraId="51DE1B21" w14:textId="0FE4B59D" w:rsidR="0099250B" w:rsidRDefault="0099250B">
      <w:pPr>
        <w:rPr>
          <w:b/>
          <w:bCs/>
        </w:rPr>
      </w:pPr>
      <w:r>
        <w:rPr>
          <w:b/>
          <w:bCs/>
        </w:rPr>
        <w:t>PATIENT NAME:</w:t>
      </w:r>
    </w:p>
    <w:p w14:paraId="54180793" w14:textId="083A1D04" w:rsidR="0099250B" w:rsidRDefault="0099250B">
      <w:pPr>
        <w:rPr>
          <w:b/>
          <w:bCs/>
        </w:rPr>
      </w:pPr>
      <w:r>
        <w:rPr>
          <w:b/>
          <w:bCs/>
        </w:rPr>
        <w:t>DATE OF BIRTH:</w:t>
      </w:r>
    </w:p>
    <w:p w14:paraId="79924BAC" w14:textId="3877CEAA" w:rsidR="0099250B" w:rsidRDefault="0099250B">
      <w:pPr>
        <w:rPr>
          <w:b/>
          <w:bCs/>
        </w:rPr>
      </w:pPr>
      <w:r>
        <w:rPr>
          <w:b/>
          <w:bCs/>
        </w:rPr>
        <w:t>INSURANCE PLAN:</w:t>
      </w:r>
    </w:p>
    <w:p w14:paraId="674020AB" w14:textId="223237A2" w:rsidR="0099250B" w:rsidRDefault="0099250B">
      <w:pPr>
        <w:rPr>
          <w:b/>
          <w:bCs/>
        </w:rPr>
      </w:pPr>
    </w:p>
    <w:p w14:paraId="7B8D10D3" w14:textId="7CC0D4E7" w:rsidR="0099250B" w:rsidRDefault="0099250B">
      <w:r>
        <w:t>To whom it may concern,</w:t>
      </w:r>
    </w:p>
    <w:p w14:paraId="17340B08" w14:textId="101A69BA" w:rsidR="0099250B" w:rsidRDefault="0099250B">
      <w:r>
        <w:t xml:space="preserve">I am writing this appeal letter on behalf of my patient, </w:t>
      </w:r>
      <w:r>
        <w:rPr>
          <w:b/>
          <w:bCs/>
        </w:rPr>
        <w:t>PATIENT NAME</w:t>
      </w:r>
      <w:r>
        <w:t xml:space="preserve">. </w:t>
      </w:r>
      <w:r>
        <w:rPr>
          <w:b/>
          <w:bCs/>
        </w:rPr>
        <w:t>HE/SHE</w:t>
      </w:r>
      <w:r>
        <w:t xml:space="preserve"> suffers from chronic low back pain resulting from sacroiliac joint dysfunction.</w:t>
      </w:r>
    </w:p>
    <w:p w14:paraId="6056AF47" w14:textId="77777777" w:rsidR="00272E6E" w:rsidRDefault="00272E6E"/>
    <w:p w14:paraId="5BB18AF5" w14:textId="07CE4B5B" w:rsidR="0099250B" w:rsidRDefault="0099250B">
      <w:pPr>
        <w:rPr>
          <w:vertAlign w:val="subscript"/>
        </w:rPr>
      </w:pPr>
      <w:r>
        <w:t xml:space="preserve">Published medical literature has demonstrated that painful sacroiliac dysfunction accounts for 15-30% of all patients who suffer from chronic low back pain </w:t>
      </w:r>
      <w:r w:rsidRPr="0099250B">
        <w:rPr>
          <w:vertAlign w:val="subscript"/>
        </w:rPr>
        <w:t>(1)</w:t>
      </w:r>
      <w:r>
        <w:t xml:space="preserve">. Furthermore, published medical literature has documented that up to 75% of patients who have undergone lumbar/ lumbosacral fusion procedures develop sacroiliac joint dysfunction within 5 </w:t>
      </w:r>
      <w:proofErr w:type="gramStart"/>
      <w:r>
        <w:t>years</w:t>
      </w:r>
      <w:r w:rsidRPr="005C166E">
        <w:rPr>
          <w:vertAlign w:val="subscript"/>
        </w:rPr>
        <w:t>(</w:t>
      </w:r>
      <w:proofErr w:type="gramEnd"/>
      <w:r w:rsidRPr="005C166E">
        <w:rPr>
          <w:vertAlign w:val="subscript"/>
        </w:rPr>
        <w:t>2)</w:t>
      </w:r>
      <w:r w:rsidR="005C166E">
        <w:rPr>
          <w:vertAlign w:val="subscript"/>
        </w:rPr>
        <w:t xml:space="preserve">. </w:t>
      </w:r>
    </w:p>
    <w:p w14:paraId="102DA1AD" w14:textId="41A0257E" w:rsidR="005C166E" w:rsidRDefault="005C166E">
      <w:pPr>
        <w:rPr>
          <w:vertAlign w:val="subscript"/>
        </w:rPr>
      </w:pPr>
    </w:p>
    <w:p w14:paraId="6DD680D4" w14:textId="4DA95CA9" w:rsidR="00FE07D8" w:rsidRDefault="003D330E" w:rsidP="00640B23">
      <w:pPr>
        <w:autoSpaceDE w:val="0"/>
        <w:autoSpaceDN w:val="0"/>
        <w:adjustRightInd w:val="0"/>
        <w:spacing w:after="0" w:line="240" w:lineRule="auto"/>
      </w:pPr>
      <w:r>
        <w:t xml:space="preserve">You have denied payment for the minimally invasive sacroiliac joint arthrodesis that I performed on </w:t>
      </w:r>
      <w:r>
        <w:rPr>
          <w:b/>
          <w:bCs/>
        </w:rPr>
        <w:t xml:space="preserve">DATE </w:t>
      </w:r>
      <w:r>
        <w:t>because yo</w:t>
      </w:r>
      <w:r w:rsidR="005C166E">
        <w:t xml:space="preserve">ur </w:t>
      </w:r>
      <w:r w:rsidR="00FE07D8" w:rsidRPr="00123A8F">
        <w:rPr>
          <w:b/>
          <w:bCs/>
        </w:rPr>
        <w:t>I</w:t>
      </w:r>
      <w:r w:rsidR="00272E6E">
        <w:rPr>
          <w:b/>
          <w:bCs/>
        </w:rPr>
        <w:t>NSURANCE PLAN</w:t>
      </w:r>
      <w:r>
        <w:rPr>
          <w:b/>
          <w:bCs/>
        </w:rPr>
        <w:t xml:space="preserve"> </w:t>
      </w:r>
      <w:r w:rsidR="00640B23">
        <w:t>stat</w:t>
      </w:r>
      <w:r>
        <w:t>es</w:t>
      </w:r>
      <w:r w:rsidR="00640B23">
        <w:t xml:space="preserve"> that </w:t>
      </w:r>
      <w:r>
        <w:t xml:space="preserve">you will only cover </w:t>
      </w:r>
      <w:r w:rsidR="00640B23">
        <w:t>“</w:t>
      </w:r>
      <w:r>
        <w:t>triangular titanium implants</w:t>
      </w:r>
      <w:r w:rsidR="00640B23">
        <w:t>”</w:t>
      </w:r>
      <w:r w:rsidR="005C166E">
        <w:t>.</w:t>
      </w:r>
      <w:r w:rsidR="00640B23">
        <w:t xml:space="preserve"> </w:t>
      </w:r>
      <w:r w:rsidR="00FE07D8">
        <w:t>T</w:t>
      </w:r>
      <w:r w:rsidR="00640B23">
        <w:t xml:space="preserve">his statement </w:t>
      </w:r>
      <w:r>
        <w:t xml:space="preserve">deviates from the published guidance of the clinical experts </w:t>
      </w:r>
      <w:r w:rsidR="00272E6E">
        <w:t>i</w:t>
      </w:r>
      <w:r>
        <w:t xml:space="preserve">n spine care. </w:t>
      </w:r>
      <w:r w:rsidR="00D50BB6">
        <w:t>In short</w:t>
      </w:r>
      <w:r w:rsidR="00D50BB6">
        <w:t xml:space="preserve">, there is broad-based support from </w:t>
      </w:r>
      <w:r w:rsidR="00272E6E">
        <w:t xml:space="preserve">several </w:t>
      </w:r>
      <w:r w:rsidR="00D50BB6">
        <w:t xml:space="preserve">specialty societies recommending the coverage of minimally invasive and percutaneous SI joint </w:t>
      </w:r>
      <w:proofErr w:type="gramStart"/>
      <w:r w:rsidR="00D50BB6">
        <w:t>fusion</w:t>
      </w:r>
      <w:r w:rsidR="00D50BB6" w:rsidRPr="00FE07D8">
        <w:rPr>
          <w:vertAlign w:val="subscript"/>
        </w:rPr>
        <w:t>(</w:t>
      </w:r>
      <w:proofErr w:type="gramEnd"/>
      <w:r w:rsidR="00D50BB6" w:rsidRPr="00FE07D8">
        <w:rPr>
          <w:vertAlign w:val="subscript"/>
        </w:rPr>
        <w:t>4</w:t>
      </w:r>
      <w:r w:rsidR="00D50BB6">
        <w:rPr>
          <w:vertAlign w:val="subscript"/>
        </w:rPr>
        <w:t>)</w:t>
      </w:r>
      <w:r w:rsidR="00272E6E">
        <w:rPr>
          <w:vertAlign w:val="subscript"/>
        </w:rPr>
        <w:t>(5.)</w:t>
      </w:r>
      <w:r w:rsidR="00D50BB6">
        <w:rPr>
          <w:vertAlign w:val="subscript"/>
        </w:rPr>
        <w:t xml:space="preserve"> </w:t>
      </w:r>
      <w:r w:rsidR="00D50BB6">
        <w:t>utilizing the device that I used in this procedure.</w:t>
      </w:r>
      <w:r w:rsidR="00272E6E">
        <w:t xml:space="preserve"> </w:t>
      </w:r>
      <w:r w:rsidR="00123A8F">
        <w:t xml:space="preserve">I have attached </w:t>
      </w:r>
      <w:r>
        <w:t>several</w:t>
      </w:r>
      <w:r w:rsidR="00123A8F">
        <w:t xml:space="preserve"> </w:t>
      </w:r>
      <w:r>
        <w:t xml:space="preserve">coverage recommendations from spine societies, including NASS, ISASS, AANS, and CNS. These coverage recommendations include many devices outside of triangular titanium implants, including the device that I used in this procedure. </w:t>
      </w:r>
    </w:p>
    <w:p w14:paraId="75548DD7" w14:textId="47D27820" w:rsidR="00272E6E" w:rsidRDefault="00272E6E" w:rsidP="00640B23">
      <w:pPr>
        <w:autoSpaceDE w:val="0"/>
        <w:autoSpaceDN w:val="0"/>
        <w:adjustRightInd w:val="0"/>
        <w:spacing w:after="0" w:line="240" w:lineRule="auto"/>
      </w:pPr>
    </w:p>
    <w:p w14:paraId="705749C0" w14:textId="32E43730" w:rsidR="00272E6E" w:rsidRPr="00FE07D8" w:rsidRDefault="00272E6E" w:rsidP="00640B23">
      <w:pPr>
        <w:autoSpaceDE w:val="0"/>
        <w:autoSpaceDN w:val="0"/>
        <w:adjustRightInd w:val="0"/>
        <w:spacing w:after="0" w:line="240" w:lineRule="auto"/>
      </w:pPr>
      <w:r>
        <w:t xml:space="preserve">Finally, I thought that it would be necessary to point out that your own coverage policy and medical necessity is based </w:t>
      </w:r>
      <w:proofErr w:type="gramStart"/>
      <w:r>
        <w:t>off of</w:t>
      </w:r>
      <w:proofErr w:type="gramEnd"/>
      <w:r>
        <w:t xml:space="preserve"> the NASS Coverage Recommendations. These coverage recommendations do not state that a specific device needs to be used in this procedure. Rather, they state that if the </w:t>
      </w:r>
      <w:proofErr w:type="gramStart"/>
      <w:r>
        <w:t>criteria</w:t>
      </w:r>
      <w:proofErr w:type="gramEnd"/>
      <w:r>
        <w:t xml:space="preserve"> for medical necessity is </w:t>
      </w:r>
      <w:r w:rsidR="00FE78B0">
        <w:t>followed, then they recommend coverage. I have included their guidance for medical necessity below.</w:t>
      </w:r>
    </w:p>
    <w:p w14:paraId="3C7F6CD5" w14:textId="7F7EF5FA" w:rsidR="002776FF" w:rsidRDefault="002776FF"/>
    <w:p w14:paraId="60D72BF7" w14:textId="1E89CC2B" w:rsidR="002776FF" w:rsidRPr="002776FF" w:rsidRDefault="004F5F01" w:rsidP="002776FF">
      <w:pPr>
        <w:pStyle w:val="Default"/>
        <w:spacing w:before="193" w:after="193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The Coverage Recommendation from the North American Spine Society states</w:t>
      </w:r>
      <w:r w:rsidR="002776FF" w:rsidRPr="002776FF"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  <w:r w:rsidR="002776FF"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“Percutaneous minimally invasive fusion/stabilization of the sacroiliac joint (SIJ) for the treatment of back pain is indicated for the treatment of SIJ pain for patients with low back/buttock pain who meet all of the following criteria:</w:t>
      </w:r>
    </w:p>
    <w:p w14:paraId="39BE905A" w14:textId="77777777" w:rsidR="002776FF" w:rsidRPr="002776FF" w:rsidRDefault="002776FF" w:rsidP="002776FF">
      <w:pPr>
        <w:pStyle w:val="Default"/>
        <w:spacing w:before="193" w:after="193"/>
        <w:ind w:left="72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a) Have undergone and failed a minimum six months of intensive non-operative treatment that must include medication optimization, activity modification, and active physical 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therapy;</w:t>
      </w:r>
      <w:proofErr w:type="gramEnd"/>
    </w:p>
    <w:p w14:paraId="5EB49C91" w14:textId="77777777" w:rsidR="002776FF" w:rsidRPr="002776FF" w:rsidRDefault="002776FF" w:rsidP="002776FF">
      <w:pPr>
        <w:pStyle w:val="Default"/>
        <w:spacing w:before="193" w:after="193"/>
        <w:ind w:left="72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b) Patient’s report of non-radiating, unilateral pain that is caudal to the lumbar spine (L5 vertebrae), localized over the posterior SIJ, and consistent with SIJ 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pain;</w:t>
      </w:r>
      <w:proofErr w:type="gramEnd"/>
    </w:p>
    <w:p w14:paraId="51E758A4" w14:textId="77777777" w:rsidR="002776FF" w:rsidRPr="002776FF" w:rsidRDefault="002776FF" w:rsidP="002776FF">
      <w:pPr>
        <w:pStyle w:val="Default"/>
        <w:spacing w:before="193" w:after="193"/>
        <w:ind w:left="72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c) Localized tenderness with palpation of the posterior SIJ in the absence of tenderness of similar severity elsewhere (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e.g.</w:t>
      </w:r>
      <w:proofErr w:type="gramEnd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greater trochanter, lumbar spine, coccyx) and other obvious sources for their pain do not exist;</w:t>
      </w:r>
    </w:p>
    <w:p w14:paraId="2EDDBAA6" w14:textId="77777777" w:rsidR="00FE78B0" w:rsidRDefault="002776FF" w:rsidP="00FE78B0">
      <w:pPr>
        <w:pStyle w:val="Default"/>
        <w:spacing w:before="193" w:after="193"/>
        <w:ind w:left="72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lastRenderedPageBreak/>
        <w:t xml:space="preserve">d) Positive response to the thigh thrust test OR compression test AND 2 of the following additional provocative tests: </w:t>
      </w:r>
      <w:proofErr w:type="spell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Gaenslen’s</w:t>
      </w:r>
      <w:proofErr w:type="spellEnd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test, Distraction test, Patrick’s 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sign;</w:t>
      </w:r>
      <w:proofErr w:type="gramEnd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</w:t>
      </w:r>
    </w:p>
    <w:p w14:paraId="1CE17F79" w14:textId="657E06F4" w:rsidR="002776FF" w:rsidRPr="002776FF" w:rsidRDefault="002776FF" w:rsidP="00FE78B0">
      <w:pPr>
        <w:pStyle w:val="Default"/>
        <w:spacing w:before="193" w:after="193"/>
        <w:ind w:left="72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e) Absence of generalized pain behavior (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e.g.</w:t>
      </w:r>
      <w:proofErr w:type="gramEnd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somatoform disorder) or generalized pain disorders (e.g. fibromyalgia);</w:t>
      </w:r>
    </w:p>
    <w:p w14:paraId="11E3FB48" w14:textId="77777777" w:rsidR="002776FF" w:rsidRPr="002776FF" w:rsidRDefault="002776FF" w:rsidP="002776FF">
      <w:pPr>
        <w:pStyle w:val="Default"/>
        <w:spacing w:before="193" w:after="193"/>
        <w:ind w:left="72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f) Diagnostic imaging studies that include 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ALL of</w:t>
      </w:r>
      <w:proofErr w:type="gramEnd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the following:</w:t>
      </w:r>
    </w:p>
    <w:p w14:paraId="722BC714" w14:textId="77777777" w:rsidR="002776FF" w:rsidRPr="002776FF" w:rsidRDefault="002776FF" w:rsidP="002776FF">
      <w:pPr>
        <w:pStyle w:val="Default"/>
        <w:spacing w:before="193" w:after="193"/>
        <w:ind w:left="144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1. Imaging (plain radiographs and a CT or MRI) of the SI joint that excludes the presence of destructive lesions (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e.g.</w:t>
      </w:r>
      <w:proofErr w:type="gramEnd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 tumor, infection) or inflammatory arthropathy that would not be properly addressed by percutaneous SIJ fusion;</w:t>
      </w:r>
    </w:p>
    <w:p w14:paraId="148146E0" w14:textId="77777777" w:rsidR="002776FF" w:rsidRPr="002776FF" w:rsidRDefault="002776FF" w:rsidP="002776FF">
      <w:pPr>
        <w:pStyle w:val="Default"/>
        <w:spacing w:before="193" w:after="193"/>
        <w:ind w:left="144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2. Imaging of the ipsilateral hip (plain radiographs) to rule out 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osteoarthritis;</w:t>
      </w:r>
      <w:proofErr w:type="gramEnd"/>
    </w:p>
    <w:p w14:paraId="3E88B58C" w14:textId="77777777" w:rsidR="002776FF" w:rsidRPr="002776FF" w:rsidRDefault="002776FF" w:rsidP="002776FF">
      <w:pPr>
        <w:pStyle w:val="Default"/>
        <w:spacing w:before="193" w:after="193"/>
        <w:ind w:left="1440"/>
        <w:rPr>
          <w:rFonts w:asciiTheme="minorHAnsi" w:hAnsiTheme="minorHAnsi" w:cstheme="minorBidi"/>
          <w:i/>
          <w:iCs/>
          <w:color w:val="auto"/>
          <w:sz w:val="22"/>
          <w:szCs w:val="22"/>
        </w:rPr>
      </w:pPr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 xml:space="preserve">3. Imaging of the lumbar spine (CT or MRI) to rule out neural compression or other degenerative condition that can be causing low back or buttock </w:t>
      </w:r>
      <w:proofErr w:type="gramStart"/>
      <w:r w:rsidRPr="002776FF">
        <w:rPr>
          <w:rFonts w:asciiTheme="minorHAnsi" w:hAnsiTheme="minorHAnsi" w:cstheme="minorBidi"/>
          <w:i/>
          <w:iCs/>
          <w:color w:val="auto"/>
          <w:sz w:val="22"/>
          <w:szCs w:val="22"/>
        </w:rPr>
        <w:t>pain;</w:t>
      </w:r>
      <w:proofErr w:type="gramEnd"/>
    </w:p>
    <w:p w14:paraId="44AF666A" w14:textId="3944E7E3" w:rsidR="002776FF" w:rsidRDefault="002776FF" w:rsidP="002776FF">
      <w:pPr>
        <w:ind w:left="720"/>
      </w:pPr>
      <w:r w:rsidRPr="002776FF">
        <w:rPr>
          <w:i/>
          <w:iCs/>
        </w:rPr>
        <w:t xml:space="preserve">g) At least 75 percent reduction of pain for the expected duration </w:t>
      </w:r>
      <w:r w:rsidRPr="002776FF">
        <w:t>of the anesthetic used following an image-guided, contrast-enhanced SIJ injection on two separate occasions.</w:t>
      </w:r>
      <w:r>
        <w:t>”</w:t>
      </w:r>
    </w:p>
    <w:p w14:paraId="2380C9E8" w14:textId="1ECE85FA" w:rsidR="00247B52" w:rsidRDefault="00247B52" w:rsidP="002776FF">
      <w:pPr>
        <w:ind w:left="720"/>
      </w:pPr>
    </w:p>
    <w:p w14:paraId="73F6803D" w14:textId="2210D97B" w:rsidR="00247B52" w:rsidRDefault="00247B52" w:rsidP="00247B52">
      <w:r>
        <w:rPr>
          <w:b/>
          <w:bCs/>
        </w:rPr>
        <w:t>PATIENT NAME</w:t>
      </w:r>
      <w:r>
        <w:t xml:space="preserve"> has met </w:t>
      </w:r>
      <w:proofErr w:type="gramStart"/>
      <w:r>
        <w:t>all of</w:t>
      </w:r>
      <w:proofErr w:type="gramEnd"/>
      <w:r>
        <w:t xml:space="preserve"> the coverage requirements listed above, set forth by </w:t>
      </w:r>
      <w:r w:rsidR="00123A8F">
        <w:t>society guidelines</w:t>
      </w:r>
      <w:r w:rsidR="00FE78B0">
        <w:t>. T</w:t>
      </w:r>
      <w:r>
        <w:t>herefore</w:t>
      </w:r>
      <w:r w:rsidR="00FE78B0">
        <w:t xml:space="preserve">, it would be clinically inappropriate for you to </w:t>
      </w:r>
      <w:r>
        <w:t>den</w:t>
      </w:r>
      <w:r w:rsidR="00FE78B0">
        <w:t>y</w:t>
      </w:r>
      <w:r>
        <w:t xml:space="preserve"> </w:t>
      </w:r>
      <w:r w:rsidR="00FE78B0">
        <w:t>payment for the minimally invasive sacroiliac joint arthrodesis procedure that I performed.</w:t>
      </w:r>
      <w:r>
        <w:t xml:space="preserve"> I am hopeful that you can review the facts listed in this appeal letter, in conjunction with </w:t>
      </w:r>
      <w:r>
        <w:rPr>
          <w:b/>
          <w:bCs/>
        </w:rPr>
        <w:t>PATIENT NAME</w:t>
      </w:r>
      <w:r>
        <w:t xml:space="preserve">’s medical record, and provide the coverage that they are entitled to. </w:t>
      </w:r>
    </w:p>
    <w:p w14:paraId="0657475E" w14:textId="5D598689" w:rsidR="00247B52" w:rsidRDefault="00247B52" w:rsidP="00247B52"/>
    <w:p w14:paraId="4E8B281C" w14:textId="1F8BD7D9" w:rsidR="00247B52" w:rsidRDefault="00247B52" w:rsidP="00247B52">
      <w:r>
        <w:t>Sincerely,</w:t>
      </w:r>
    </w:p>
    <w:p w14:paraId="52E473FA" w14:textId="214216FD" w:rsidR="00247B52" w:rsidRDefault="00247B52" w:rsidP="00247B52"/>
    <w:p w14:paraId="4C26BEDF" w14:textId="2C6EF899" w:rsidR="00247B52" w:rsidRPr="00247B52" w:rsidRDefault="00247B52" w:rsidP="00247B52">
      <w:pPr>
        <w:rPr>
          <w:b/>
          <w:bCs/>
        </w:rPr>
      </w:pPr>
      <w:r>
        <w:rPr>
          <w:b/>
          <w:bCs/>
        </w:rPr>
        <w:t>SIGNATURE</w:t>
      </w:r>
    </w:p>
    <w:p w14:paraId="27B10FA6" w14:textId="4EB217A4" w:rsidR="0099250B" w:rsidRPr="002776FF" w:rsidRDefault="0099250B"/>
    <w:p w14:paraId="2141BB3B" w14:textId="11806492" w:rsidR="0099250B" w:rsidRPr="002776FF" w:rsidRDefault="0099250B"/>
    <w:p w14:paraId="059EF1BC" w14:textId="3DAC71B8" w:rsidR="002776FF" w:rsidRPr="002776FF" w:rsidRDefault="002776FF"/>
    <w:p w14:paraId="1B937112" w14:textId="02656F1F" w:rsidR="002776FF" w:rsidRPr="002776FF" w:rsidRDefault="002776FF"/>
    <w:p w14:paraId="0864B8DB" w14:textId="1B144CB4" w:rsidR="002776FF" w:rsidRPr="002776FF" w:rsidRDefault="002776FF"/>
    <w:p w14:paraId="74CF6720" w14:textId="53B42E19" w:rsidR="002776FF" w:rsidRPr="002776FF" w:rsidRDefault="002776FF"/>
    <w:p w14:paraId="425953DE" w14:textId="77F33CDE" w:rsidR="002776FF" w:rsidRPr="002776FF" w:rsidRDefault="002776FF"/>
    <w:p w14:paraId="49730CF4" w14:textId="5DC4D3AA" w:rsidR="002776FF" w:rsidRPr="002776FF" w:rsidRDefault="002776FF"/>
    <w:p w14:paraId="62F91798" w14:textId="090AFF35" w:rsidR="002776FF" w:rsidRPr="002776FF" w:rsidRDefault="002776FF"/>
    <w:p w14:paraId="05ED57B1" w14:textId="7D49E70E" w:rsidR="002776FF" w:rsidRPr="002776FF" w:rsidRDefault="002776FF"/>
    <w:p w14:paraId="1732086A" w14:textId="75797597" w:rsidR="002776FF" w:rsidRPr="002776FF" w:rsidRDefault="002776FF"/>
    <w:p w14:paraId="4FA10CB4" w14:textId="70713020" w:rsidR="002776FF" w:rsidRPr="002776FF" w:rsidRDefault="002776FF"/>
    <w:p w14:paraId="41503A8E" w14:textId="3DE32809" w:rsidR="002776FF" w:rsidRPr="002776FF" w:rsidRDefault="002776FF"/>
    <w:p w14:paraId="4E83C1ED" w14:textId="2FB38714" w:rsidR="002776FF" w:rsidRPr="002776FF" w:rsidRDefault="002776FF"/>
    <w:p w14:paraId="1551C5E9" w14:textId="7D224598" w:rsidR="002776FF" w:rsidRPr="002776FF" w:rsidRDefault="002776FF"/>
    <w:p w14:paraId="7411B747" w14:textId="66B124FD" w:rsidR="002776FF" w:rsidRPr="002776FF" w:rsidRDefault="002776FF"/>
    <w:p w14:paraId="34E4E40A" w14:textId="3AD89B99" w:rsidR="002776FF" w:rsidRPr="002776FF" w:rsidRDefault="002776FF">
      <w:r w:rsidRPr="002776FF">
        <w:t>REFERENCES:</w:t>
      </w:r>
    </w:p>
    <w:p w14:paraId="15100011" w14:textId="434CF9F0" w:rsidR="002776FF" w:rsidRPr="002776FF" w:rsidRDefault="002776FF" w:rsidP="002776FF">
      <w:r w:rsidRPr="002776FF">
        <w:t xml:space="preserve">1.) </w:t>
      </w:r>
      <w:proofErr w:type="spellStart"/>
      <w:r w:rsidRPr="002776FF">
        <w:t>Szadek</w:t>
      </w:r>
      <w:proofErr w:type="spellEnd"/>
      <w:r w:rsidRPr="002776FF">
        <w:t xml:space="preserve"> KM, van der </w:t>
      </w:r>
      <w:proofErr w:type="spellStart"/>
      <w:r w:rsidRPr="002776FF">
        <w:t>Wurff</w:t>
      </w:r>
      <w:proofErr w:type="spellEnd"/>
      <w:r w:rsidRPr="002776FF">
        <w:t xml:space="preserve"> P, van </w:t>
      </w:r>
      <w:proofErr w:type="spellStart"/>
      <w:r w:rsidRPr="002776FF">
        <w:t>Tulder</w:t>
      </w:r>
      <w:proofErr w:type="spellEnd"/>
      <w:r w:rsidRPr="002776FF">
        <w:t xml:space="preserve"> MW, </w:t>
      </w:r>
      <w:proofErr w:type="spellStart"/>
      <w:r w:rsidRPr="002776FF">
        <w:t>Zuurmond</w:t>
      </w:r>
      <w:proofErr w:type="spellEnd"/>
      <w:r w:rsidRPr="002776FF">
        <w:t xml:space="preserve"> WW, Perez RS. Diagnostic validity of criteria for sacroiliac joint pain: a systematic review. J Pain. 2009;10(4):354–368. </w:t>
      </w:r>
    </w:p>
    <w:p w14:paraId="3C3BEFBD" w14:textId="21DF475F" w:rsidR="002776FF" w:rsidRPr="002776FF" w:rsidRDefault="002776FF">
      <w:r w:rsidRPr="002776FF">
        <w:t>2.) Ha K-Y, Lee J-S, Kim K-W. Degeneration of sacroiliac joint after instrumented lumbar or lumbosacral fusion: a prospective cohort study over five-year follow-up. Spine. 2008;33(11):1192–8.</w:t>
      </w:r>
    </w:p>
    <w:p w14:paraId="284318F5" w14:textId="576FA373" w:rsidR="002776FF" w:rsidRDefault="002776FF">
      <w:r w:rsidRPr="002776FF">
        <w:t xml:space="preserve">3.) </w:t>
      </w:r>
      <w:hyperlink r:id="rId5" w:history="1">
        <w:r w:rsidRPr="002776FF">
          <w:t>https://www.medicare.gov/Pubs/pdf/12026-Understanding-Medicare-Advantage-Plans.pdf - Page 7</w:t>
        </w:r>
      </w:hyperlink>
    </w:p>
    <w:p w14:paraId="70DE56E1" w14:textId="2E0EE820" w:rsidR="00272E6E" w:rsidRDefault="00272E6E">
      <w:r>
        <w:t>4.) NASS Coverage Recommendations: Percutaneous Sacroiliac Joint Fusion</w:t>
      </w:r>
    </w:p>
    <w:p w14:paraId="21C58C9C" w14:textId="4DA67215" w:rsidR="00237109" w:rsidRDefault="00272E6E" w:rsidP="00BE2434">
      <w:pPr>
        <w:autoSpaceDE w:val="0"/>
        <w:autoSpaceDN w:val="0"/>
        <w:adjustRightInd w:val="0"/>
        <w:spacing w:after="0" w:line="240" w:lineRule="auto"/>
      </w:pPr>
      <w:r>
        <w:t>5</w:t>
      </w:r>
      <w:r w:rsidR="00237109">
        <w:t xml:space="preserve">.) </w:t>
      </w:r>
      <w:r w:rsidR="00237109" w:rsidRPr="00237109">
        <w:t>Multi-Specialty Society Letter Re: 2018 Health Technology Assessment Topic Selection –</w:t>
      </w:r>
      <w:r w:rsidR="00BE2434">
        <w:t xml:space="preserve"> </w:t>
      </w:r>
      <w:r w:rsidR="00237109" w:rsidRPr="00237109">
        <w:t>Sacroiliac Joint Fusion Surgery</w:t>
      </w:r>
    </w:p>
    <w:p w14:paraId="62B3BCE5" w14:textId="77777777" w:rsidR="00BE2434" w:rsidRDefault="00BE2434" w:rsidP="00BE2434">
      <w:pPr>
        <w:autoSpaceDE w:val="0"/>
        <w:autoSpaceDN w:val="0"/>
        <w:adjustRightInd w:val="0"/>
        <w:spacing w:after="0" w:line="240" w:lineRule="auto"/>
      </w:pPr>
    </w:p>
    <w:p w14:paraId="342F3240" w14:textId="70A74B90" w:rsidR="00BE2434" w:rsidRDefault="00E408A9" w:rsidP="00237109">
      <w:r>
        <w:t>ADDITIONAL REFERENCES</w:t>
      </w:r>
    </w:p>
    <w:p w14:paraId="11A79D1E" w14:textId="2AB33C38" w:rsidR="00BE2434" w:rsidRPr="00E408A9" w:rsidRDefault="00BE2434" w:rsidP="00BE2434">
      <w:pPr>
        <w:autoSpaceDE w:val="0"/>
        <w:autoSpaceDN w:val="0"/>
        <w:adjustRightInd w:val="0"/>
        <w:spacing w:after="0" w:line="240" w:lineRule="auto"/>
      </w:pPr>
      <w:r>
        <w:t>1</w:t>
      </w:r>
      <w:r w:rsidRPr="00E408A9">
        <w:t xml:space="preserve">. McGuire RA, Chen Z, Donahoe K. Dual fibular allograft technique for sacroiliac joint arthrodesis. Evid Based Spine Care J. </w:t>
      </w:r>
      <w:proofErr w:type="gramStart"/>
      <w:r w:rsidRPr="00E408A9">
        <w:t>2012;3:21</w:t>
      </w:r>
      <w:proofErr w:type="gramEnd"/>
      <w:r w:rsidRPr="00E408A9">
        <w:t xml:space="preserve">-8. </w:t>
      </w:r>
    </w:p>
    <w:p w14:paraId="03B99493" w14:textId="3379279D" w:rsidR="00E408A9" w:rsidRPr="00E408A9" w:rsidRDefault="00BE2434" w:rsidP="00E408A9">
      <w:pPr>
        <w:autoSpaceDE w:val="0"/>
        <w:autoSpaceDN w:val="0"/>
        <w:adjustRightInd w:val="0"/>
        <w:spacing w:after="0" w:line="240" w:lineRule="auto"/>
      </w:pPr>
      <w:r>
        <w:t>2</w:t>
      </w:r>
      <w:r w:rsidR="00E408A9" w:rsidRPr="00E408A9">
        <w:t xml:space="preserve">. Wise CL, Dall BE. Minimally invasive sacroiliac arthrodesis: outcomes of a new technique. J Spinal </w:t>
      </w:r>
      <w:proofErr w:type="spellStart"/>
      <w:r w:rsidR="00E408A9" w:rsidRPr="00E408A9">
        <w:t>Disord</w:t>
      </w:r>
      <w:proofErr w:type="spellEnd"/>
      <w:r w:rsidR="00E408A9" w:rsidRPr="00E408A9">
        <w:t xml:space="preserve"> Tech. 2008;21(8):579-84.</w:t>
      </w:r>
    </w:p>
    <w:p w14:paraId="7C04D104" w14:textId="78AE2BDE" w:rsidR="00E408A9" w:rsidRPr="00E408A9" w:rsidRDefault="00BE2434" w:rsidP="00E408A9">
      <w:pPr>
        <w:autoSpaceDE w:val="0"/>
        <w:autoSpaceDN w:val="0"/>
        <w:adjustRightInd w:val="0"/>
        <w:spacing w:after="0" w:line="240" w:lineRule="auto"/>
      </w:pPr>
      <w:r>
        <w:t>3</w:t>
      </w:r>
      <w:r w:rsidR="00E408A9" w:rsidRPr="00E408A9">
        <w:t xml:space="preserve">. Rudolf L. Sacroiliac joint arthrodesis-MIS technique with titanium implants: Report of the first 50 patients and outcomes. Open </w:t>
      </w:r>
      <w:proofErr w:type="spellStart"/>
      <w:r w:rsidR="00E408A9" w:rsidRPr="00E408A9">
        <w:t>Orthop</w:t>
      </w:r>
      <w:proofErr w:type="spellEnd"/>
      <w:r w:rsidR="00E408A9" w:rsidRPr="00E408A9">
        <w:t xml:space="preserve"> </w:t>
      </w:r>
      <w:proofErr w:type="gramStart"/>
      <w:r w:rsidR="00E408A9" w:rsidRPr="00E408A9">
        <w:t>J.2012;6:495</w:t>
      </w:r>
      <w:proofErr w:type="gramEnd"/>
      <w:r w:rsidR="00E408A9" w:rsidRPr="00E408A9">
        <w:t xml:space="preserve">-502. </w:t>
      </w:r>
    </w:p>
    <w:p w14:paraId="7948C57A" w14:textId="41823753" w:rsidR="00E408A9" w:rsidRDefault="00BE2434" w:rsidP="00E408A9">
      <w:pPr>
        <w:autoSpaceDE w:val="0"/>
        <w:autoSpaceDN w:val="0"/>
        <w:adjustRightInd w:val="0"/>
        <w:spacing w:after="0" w:line="240" w:lineRule="auto"/>
      </w:pPr>
      <w:r>
        <w:t>4</w:t>
      </w:r>
      <w:r w:rsidR="00E408A9" w:rsidRPr="00E408A9">
        <w:t xml:space="preserve">. Sachs D, Capobianco R. </w:t>
      </w:r>
      <w:proofErr w:type="gramStart"/>
      <w:r w:rsidR="00E408A9" w:rsidRPr="00E408A9">
        <w:t>One year</w:t>
      </w:r>
      <w:proofErr w:type="gramEnd"/>
      <w:r w:rsidR="00E408A9" w:rsidRPr="00E408A9">
        <w:t xml:space="preserve"> successful outcomes for novel sacroiliac joint arthrodesis system. Ann Surg </w:t>
      </w:r>
      <w:proofErr w:type="spellStart"/>
      <w:r w:rsidR="00E408A9" w:rsidRPr="00E408A9">
        <w:t>Innov</w:t>
      </w:r>
      <w:proofErr w:type="spellEnd"/>
      <w:r w:rsidR="00E408A9" w:rsidRPr="00E408A9">
        <w:t xml:space="preserve"> Res. 2012;6(1):13. </w:t>
      </w:r>
    </w:p>
    <w:p w14:paraId="538D3912" w14:textId="4D364B49" w:rsidR="00BE2434" w:rsidRPr="00E408A9" w:rsidRDefault="00BE2434" w:rsidP="00BE2434">
      <w:pPr>
        <w:autoSpaceDE w:val="0"/>
        <w:autoSpaceDN w:val="0"/>
        <w:adjustRightInd w:val="0"/>
        <w:spacing w:after="0" w:line="240" w:lineRule="auto"/>
      </w:pPr>
      <w:r>
        <w:t>5</w:t>
      </w:r>
      <w:r w:rsidRPr="00E408A9">
        <w:t>. Al-</w:t>
      </w:r>
      <w:proofErr w:type="spellStart"/>
      <w:r w:rsidRPr="00E408A9">
        <w:t>khayer</w:t>
      </w:r>
      <w:proofErr w:type="spellEnd"/>
      <w:r w:rsidRPr="00E408A9">
        <w:t xml:space="preserve"> A, Hegarty J, Hahn D, </w:t>
      </w:r>
      <w:proofErr w:type="spellStart"/>
      <w:r w:rsidRPr="00E408A9">
        <w:t>Grevitt</w:t>
      </w:r>
      <w:proofErr w:type="spellEnd"/>
      <w:r w:rsidRPr="00E408A9">
        <w:t xml:space="preserve"> MP. Percutaneous sacroiliac joint arthrodesis: a novel technique. J Spinal </w:t>
      </w:r>
      <w:proofErr w:type="spellStart"/>
      <w:r w:rsidRPr="00E408A9">
        <w:t>Disord</w:t>
      </w:r>
      <w:proofErr w:type="spellEnd"/>
      <w:r w:rsidRPr="00E408A9">
        <w:t xml:space="preserve"> Tech. 2008;21(5):359-63.</w:t>
      </w:r>
    </w:p>
    <w:p w14:paraId="7DCD99AB" w14:textId="6A3E3C97" w:rsidR="00BE2434" w:rsidRPr="00E408A9" w:rsidRDefault="00BE2434" w:rsidP="00E408A9">
      <w:pPr>
        <w:autoSpaceDE w:val="0"/>
        <w:autoSpaceDN w:val="0"/>
        <w:adjustRightInd w:val="0"/>
        <w:spacing w:after="0" w:line="240" w:lineRule="auto"/>
      </w:pPr>
      <w:r>
        <w:t>6</w:t>
      </w:r>
      <w:r w:rsidRPr="00E408A9">
        <w:t>. Khurana A, Guha AR, Mohanty K, Ahuja S. Percutaneous fusion of the sacroiliac joint with hollow modular anchorage screws: clinical and radiological</w:t>
      </w:r>
      <w:r>
        <w:t xml:space="preserve"> </w:t>
      </w:r>
      <w:r w:rsidRPr="00E408A9">
        <w:t xml:space="preserve">outcome. J Bone Joint Surg Br. 2009;91(5):627-31. </w:t>
      </w:r>
    </w:p>
    <w:p w14:paraId="78DBAD04" w14:textId="7B83691F" w:rsidR="00E408A9" w:rsidRPr="00E408A9" w:rsidRDefault="00E408A9" w:rsidP="00E408A9">
      <w:pPr>
        <w:autoSpaceDE w:val="0"/>
        <w:autoSpaceDN w:val="0"/>
        <w:adjustRightInd w:val="0"/>
        <w:spacing w:after="0" w:line="240" w:lineRule="auto"/>
      </w:pPr>
      <w:r>
        <w:t>7</w:t>
      </w:r>
      <w:r w:rsidRPr="00E408A9">
        <w:t xml:space="preserve">. Sachs D, Capobianco R. Minimally invasive sacroiliac joint fusion: one-year outcomes in 40 patients. Adv </w:t>
      </w:r>
      <w:proofErr w:type="spellStart"/>
      <w:r w:rsidRPr="00E408A9">
        <w:t>Orthop</w:t>
      </w:r>
      <w:proofErr w:type="spellEnd"/>
      <w:r w:rsidRPr="00E408A9">
        <w:t xml:space="preserve">. </w:t>
      </w:r>
      <w:proofErr w:type="gramStart"/>
      <w:r w:rsidRPr="00E408A9">
        <w:t>2013;2013:536128</w:t>
      </w:r>
      <w:proofErr w:type="gramEnd"/>
      <w:r w:rsidRPr="00E408A9">
        <w:t>. for degenerative sacroiliitis and sacroiliac joint disruption. Med Devices (</w:t>
      </w:r>
      <w:proofErr w:type="spellStart"/>
      <w:r w:rsidRPr="00E408A9">
        <w:t>Auckl</w:t>
      </w:r>
      <w:proofErr w:type="spellEnd"/>
      <w:r w:rsidRPr="00E408A9">
        <w:t xml:space="preserve">). 2013 May </w:t>
      </w:r>
      <w:proofErr w:type="gramStart"/>
      <w:r w:rsidRPr="00E408A9">
        <w:t>29;6:77</w:t>
      </w:r>
      <w:proofErr w:type="gramEnd"/>
      <w:r w:rsidRPr="00E408A9">
        <w:t xml:space="preserve">-84. </w:t>
      </w:r>
    </w:p>
    <w:p w14:paraId="72959407" w14:textId="59D72CA1" w:rsidR="00E408A9" w:rsidRPr="002776FF" w:rsidRDefault="00E408A9" w:rsidP="00E408A9">
      <w:pPr>
        <w:autoSpaceDE w:val="0"/>
        <w:autoSpaceDN w:val="0"/>
        <w:adjustRightInd w:val="0"/>
        <w:spacing w:after="0" w:line="240" w:lineRule="auto"/>
      </w:pPr>
      <w:r>
        <w:t>8</w:t>
      </w:r>
      <w:r w:rsidRPr="00E408A9">
        <w:t xml:space="preserve">. Buchowski JM, </w:t>
      </w:r>
      <w:proofErr w:type="spellStart"/>
      <w:r w:rsidRPr="00E408A9">
        <w:t>Kebaish</w:t>
      </w:r>
      <w:proofErr w:type="spellEnd"/>
      <w:r w:rsidRPr="00E408A9">
        <w:t xml:space="preserve"> KM, </w:t>
      </w:r>
      <w:proofErr w:type="spellStart"/>
      <w:r w:rsidRPr="00E408A9">
        <w:t>Sinkov</w:t>
      </w:r>
      <w:proofErr w:type="spellEnd"/>
      <w:r w:rsidRPr="00E408A9">
        <w:t xml:space="preserve"> V, Cohen DB, Sieber AN, </w:t>
      </w:r>
      <w:proofErr w:type="spellStart"/>
      <w:r w:rsidRPr="00E408A9">
        <w:t>Kostuik</w:t>
      </w:r>
      <w:proofErr w:type="spellEnd"/>
      <w:r w:rsidRPr="00E408A9">
        <w:t xml:space="preserve"> JP. Functional and radiographic outcome of sacroiliac arthrodesis for </w:t>
      </w:r>
      <w:proofErr w:type="spellStart"/>
      <w:r w:rsidRPr="00E408A9">
        <w:t>thedisorders</w:t>
      </w:r>
      <w:proofErr w:type="spellEnd"/>
      <w:r w:rsidRPr="00E408A9">
        <w:t xml:space="preserve"> of the sacroiliac joint. Spine J. 2005;5(5):520-8.</w:t>
      </w:r>
    </w:p>
    <w:p w14:paraId="1078B904" w14:textId="760B85A6" w:rsidR="002776FF" w:rsidRPr="002776FF" w:rsidRDefault="002776FF"/>
    <w:sectPr w:rsidR="002776FF" w:rsidRPr="002776FF" w:rsidSect="009925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959B1"/>
    <w:multiLevelType w:val="hybridMultilevel"/>
    <w:tmpl w:val="59907F10"/>
    <w:lvl w:ilvl="0" w:tplc="F4065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920D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7846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EE3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6E9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EBD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FE9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E08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25C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9776E"/>
    <w:multiLevelType w:val="hybridMultilevel"/>
    <w:tmpl w:val="12E89764"/>
    <w:lvl w:ilvl="0" w:tplc="812AB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057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D68A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86A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EFE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5864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98C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AB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DEA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0B"/>
    <w:rsid w:val="00123A8F"/>
    <w:rsid w:val="0019426D"/>
    <w:rsid w:val="00237109"/>
    <w:rsid w:val="00247B52"/>
    <w:rsid w:val="00272E6E"/>
    <w:rsid w:val="002776FF"/>
    <w:rsid w:val="003D330E"/>
    <w:rsid w:val="004F5F01"/>
    <w:rsid w:val="005C166E"/>
    <w:rsid w:val="00640B23"/>
    <w:rsid w:val="0099250B"/>
    <w:rsid w:val="00BE2434"/>
    <w:rsid w:val="00D50BB6"/>
    <w:rsid w:val="00E408A9"/>
    <w:rsid w:val="00FE07D8"/>
    <w:rsid w:val="00FE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82BA"/>
  <w15:chartTrackingRefBased/>
  <w15:docId w15:val="{BD5A7A31-3F48-4494-B205-546F99EF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6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6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7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776F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776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627">
          <w:marLeft w:val="36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icare.gov/Pubs/pdf/12026-Understanding-Medicare-Advantage-Plans.pdf%20-%20Page%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Rogers</dc:creator>
  <cp:keywords/>
  <dc:description/>
  <cp:lastModifiedBy>Dan Rogers</cp:lastModifiedBy>
  <cp:revision>3</cp:revision>
  <dcterms:created xsi:type="dcterms:W3CDTF">2022-03-11T15:13:00Z</dcterms:created>
  <dcterms:modified xsi:type="dcterms:W3CDTF">2022-03-11T15:21:00Z</dcterms:modified>
</cp:coreProperties>
</file>